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F4844" w:rsidRDefault="007F4844" w:rsidP="007F4844">
      <w:pPr>
        <w:rPr>
          <w:rFonts w:ascii="Helvetica Neue" w:eastAsia="Times New Roman" w:hAnsi="Helvetica Neue" w:cs="Times New Roman"/>
          <w:b/>
          <w:color w:val="4472C4" w:themeColor="accent1"/>
          <w:sz w:val="28"/>
          <w:szCs w:val="28"/>
          <w:shd w:val="clear" w:color="auto" w:fill="FFFFFF"/>
        </w:rPr>
      </w:pPr>
      <w:r>
        <w:rPr>
          <w:rFonts w:ascii="Helvetica Neue" w:eastAsia="Times New Roman" w:hAnsi="Helvetica Neue" w:cs="Times New Roman"/>
          <w:b/>
          <w:noProof/>
          <w:color w:val="4472C4" w:themeColor="accent1"/>
          <w:sz w:val="28"/>
          <w:szCs w:val="28"/>
          <w:shd w:val="clear" w:color="auto" w:fill="FFFFF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142365" cy="1551940"/>
            <wp:effectExtent l="0" t="0" r="635" b="0"/>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233" r="63488"/>
                    <a:stretch/>
                  </pic:blipFill>
                  <pic:spPr bwMode="auto">
                    <a:xfrm>
                      <a:off x="0" y="0"/>
                      <a:ext cx="1143024" cy="15525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Pr>
          <w:rFonts w:ascii="Helvetica Neue" w:eastAsia="Times New Roman" w:hAnsi="Helvetica Neue" w:cs="Times New Roman"/>
          <w:b/>
          <w:color w:val="4472C4" w:themeColor="accent1"/>
          <w:sz w:val="28"/>
          <w:szCs w:val="28"/>
          <w:shd w:val="clear" w:color="auto" w:fill="FFFFFF"/>
        </w:rPr>
        <w:t xml:space="preserve">La lettre d’informations ARTS PLASTIQUES </w:t>
      </w:r>
    </w:p>
    <w:p w:rsidR="007F4844" w:rsidRPr="002F7098" w:rsidRDefault="007F4844" w:rsidP="007F4844">
      <w:pPr>
        <w:rPr>
          <w:rFonts w:ascii="Helvetica Neue" w:eastAsia="Times New Roman" w:hAnsi="Helvetica Neue" w:cs="Times New Roman"/>
          <w:b/>
          <w:color w:val="4472C4" w:themeColor="accent1"/>
          <w:sz w:val="28"/>
          <w:szCs w:val="28"/>
          <w:shd w:val="clear" w:color="auto" w:fill="FFFFFF"/>
        </w:rPr>
      </w:pPr>
      <w:r>
        <w:rPr>
          <w:rFonts w:ascii="Helvetica Neue" w:eastAsia="Times New Roman" w:hAnsi="Helvetica Neue" w:cs="Times New Roman"/>
          <w:b/>
          <w:color w:val="4472C4" w:themeColor="accent1"/>
          <w:sz w:val="28"/>
          <w:szCs w:val="28"/>
          <w:shd w:val="clear" w:color="auto" w:fill="FFFFFF"/>
        </w:rPr>
        <w:t>Académie de Lille</w:t>
      </w:r>
    </w:p>
    <w:p w:rsidR="007F4844" w:rsidRDefault="007F4844" w:rsidP="007F4844">
      <w:pPr>
        <w:rPr>
          <w:rFonts w:ascii="Helvetica Neue" w:eastAsia="Times New Roman" w:hAnsi="Helvetica Neue" w:cs="Times New Roman"/>
          <w:b/>
          <w:color w:val="4472C4" w:themeColor="accent1"/>
          <w:shd w:val="clear" w:color="auto" w:fill="FFFFFF"/>
        </w:rPr>
      </w:pPr>
      <w:r>
        <w:rPr>
          <w:rFonts w:ascii="Helvetica Neue" w:eastAsia="Times New Roman" w:hAnsi="Helvetica Neue" w:cs="Times New Roman"/>
          <w:b/>
          <w:color w:val="4472C4" w:themeColor="accent1"/>
          <w:shd w:val="clear" w:color="auto" w:fill="FFFFFF"/>
        </w:rPr>
        <w:t xml:space="preserve">Semaine du 16 au 21 novembre </w:t>
      </w:r>
      <w:r w:rsidRPr="002F7098">
        <w:rPr>
          <w:rFonts w:ascii="Helvetica Neue" w:eastAsia="Times New Roman" w:hAnsi="Helvetica Neue" w:cs="Times New Roman"/>
          <w:b/>
          <w:color w:val="4472C4" w:themeColor="accent1"/>
          <w:shd w:val="clear" w:color="auto" w:fill="FFFFFF"/>
        </w:rPr>
        <w:t>2020</w:t>
      </w:r>
    </w:p>
    <w:p w:rsidR="007F4844" w:rsidRDefault="007F4844">
      <w:pPr>
        <w:rPr>
          <w:rFonts w:ascii="Arial" w:hAnsi="Arial" w:cs="Arial"/>
          <w:b/>
          <w:bCs/>
          <w:color w:val="4472C4" w:themeColor="accent1"/>
          <w:sz w:val="32"/>
          <w:szCs w:val="32"/>
        </w:rPr>
      </w:pPr>
    </w:p>
    <w:p w:rsidR="007F4844" w:rsidRDefault="007F4844">
      <w:pPr>
        <w:rPr>
          <w:rFonts w:ascii="Arial" w:hAnsi="Arial" w:cs="Arial"/>
          <w:b/>
          <w:bCs/>
          <w:color w:val="4472C4" w:themeColor="accent1"/>
          <w:sz w:val="32"/>
          <w:szCs w:val="32"/>
        </w:rPr>
      </w:pPr>
    </w:p>
    <w:p w:rsidR="007F4844" w:rsidRDefault="007F4844">
      <w:pPr>
        <w:rPr>
          <w:rFonts w:ascii="Arial" w:hAnsi="Arial" w:cs="Arial"/>
          <w:b/>
          <w:bCs/>
          <w:color w:val="4472C4" w:themeColor="accent1"/>
          <w:sz w:val="32"/>
          <w:szCs w:val="32"/>
        </w:rPr>
      </w:pPr>
      <w:r>
        <w:rPr>
          <w:rFonts w:ascii="Arial" w:hAnsi="Arial" w:cs="Arial"/>
          <w:b/>
          <w:bCs/>
          <w:color w:val="4472C4" w:themeColor="accent1"/>
          <w:sz w:val="32"/>
          <w:szCs w:val="32"/>
        </w:rPr>
        <w:t>LE GRAND ORAL</w:t>
      </w:r>
    </w:p>
    <w:p w:rsidR="007F4844" w:rsidRDefault="007F4844">
      <w:pPr>
        <w:rPr>
          <w:rFonts w:ascii="Arial" w:hAnsi="Arial" w:cs="Arial"/>
          <w:b/>
          <w:bCs/>
          <w:color w:val="4472C4" w:themeColor="accent1"/>
          <w:sz w:val="32"/>
          <w:szCs w:val="32"/>
        </w:rPr>
      </w:pPr>
    </w:p>
    <w:p w:rsidR="007F4844" w:rsidRDefault="007F4844">
      <w:pPr>
        <w:rPr>
          <w:rFonts w:ascii="Arial" w:hAnsi="Arial" w:cs="Arial"/>
          <w:b/>
          <w:bCs/>
          <w:color w:val="4472C4" w:themeColor="accent1"/>
          <w:sz w:val="32"/>
          <w:szCs w:val="32"/>
        </w:rPr>
      </w:pPr>
    </w:p>
    <w:p w:rsidR="00C63F17" w:rsidRDefault="007F4844" w:rsidP="007F4844">
      <w:pPr>
        <w:jc w:val="both"/>
        <w:rPr>
          <w:rFonts w:ascii="Arial" w:hAnsi="Arial" w:cs="Arial"/>
          <w:color w:val="000000" w:themeColor="text1"/>
        </w:rPr>
      </w:pPr>
      <w:r>
        <w:rPr>
          <w:rFonts w:ascii="Arial" w:hAnsi="Arial" w:cs="Arial"/>
          <w:color w:val="000000" w:themeColor="text1"/>
        </w:rPr>
        <w:t xml:space="preserve">Nous vous proposons de mettre en regard les compétences orales des programmes de l’enseignement de spécialité avec les préconisations du rapport de Monsieur Cyril </w:t>
      </w:r>
      <w:proofErr w:type="spellStart"/>
      <w:r>
        <w:rPr>
          <w:rFonts w:ascii="Arial" w:hAnsi="Arial" w:cs="Arial"/>
          <w:color w:val="000000" w:themeColor="text1"/>
        </w:rPr>
        <w:t>Delhay</w:t>
      </w:r>
      <w:proofErr w:type="spellEnd"/>
      <w:r>
        <w:rPr>
          <w:rFonts w:ascii="Arial" w:hAnsi="Arial" w:cs="Arial"/>
          <w:color w:val="000000" w:themeColor="text1"/>
        </w:rPr>
        <w:t>, professeur d’art oratoire à Sciences Po</w:t>
      </w:r>
      <w:r w:rsidR="00C63F17">
        <w:rPr>
          <w:rFonts w:ascii="Arial" w:hAnsi="Arial" w:cs="Arial"/>
          <w:color w:val="000000" w:themeColor="text1"/>
        </w:rPr>
        <w:t>, que vous pouvez consulter en ligne</w:t>
      </w:r>
      <w:r w:rsidR="00C00236">
        <w:rPr>
          <w:rFonts w:ascii="Arial" w:hAnsi="Arial" w:cs="Arial"/>
          <w:color w:val="000000" w:themeColor="text1"/>
        </w:rPr>
        <w:t> :</w:t>
      </w:r>
      <w:r w:rsidR="00C63F17">
        <w:rPr>
          <w:rFonts w:ascii="Arial" w:hAnsi="Arial" w:cs="Arial"/>
          <w:color w:val="000000" w:themeColor="text1"/>
        </w:rPr>
        <w:t xml:space="preserve"> </w:t>
      </w:r>
    </w:p>
    <w:p w:rsidR="000B747C" w:rsidRDefault="00C00236" w:rsidP="007F4844">
      <w:pPr>
        <w:jc w:val="both"/>
        <w:rPr>
          <w:rFonts w:ascii="Arial" w:hAnsi="Arial" w:cs="Arial"/>
          <w:color w:val="000000" w:themeColor="text1"/>
        </w:rPr>
      </w:pPr>
      <w:hyperlink r:id="rId7" w:history="1">
        <w:r w:rsidRPr="008A2FF6">
          <w:rPr>
            <w:rStyle w:val="Lienhypertexte"/>
          </w:rPr>
          <w:t>https://www.education.gouv.fr/rapport-de-cyril-delhay-sur-le-grand-oral-apprendre-tous-les-eleves-porter-leur-propre-parole-2582</w:t>
        </w:r>
      </w:hyperlink>
      <w:r>
        <w:t xml:space="preserve"> </w:t>
      </w:r>
    </w:p>
    <w:p w:rsidR="00242C90" w:rsidRDefault="00242C90" w:rsidP="00483D53">
      <w:pPr>
        <w:jc w:val="both"/>
        <w:rPr>
          <w:rFonts w:ascii="Arial" w:hAnsi="Arial" w:cs="Arial"/>
          <w:color w:val="000000" w:themeColor="text1"/>
        </w:rPr>
      </w:pPr>
      <w:r>
        <w:rPr>
          <w:rFonts w:ascii="Arial" w:hAnsi="Arial" w:cs="Arial"/>
          <w:color w:val="000000" w:themeColor="text1"/>
        </w:rPr>
        <w:t xml:space="preserve">L’esprit général de « l’épreuve orale </w:t>
      </w:r>
      <w:r w:rsidR="00C00236">
        <w:rPr>
          <w:rFonts w:ascii="Arial" w:hAnsi="Arial" w:cs="Arial"/>
          <w:color w:val="000000" w:themeColor="text1"/>
        </w:rPr>
        <w:t>terminale » y est décliné</w:t>
      </w:r>
      <w:r>
        <w:rPr>
          <w:rFonts w:ascii="Arial" w:hAnsi="Arial" w:cs="Arial"/>
          <w:color w:val="000000" w:themeColor="text1"/>
        </w:rPr>
        <w:t xml:space="preserve"> ainsi :</w:t>
      </w:r>
    </w:p>
    <w:p w:rsidR="00242C90" w:rsidRDefault="00242C90">
      <w:pPr>
        <w:rPr>
          <w:rFonts w:ascii="Arial" w:hAnsi="Arial" w:cs="Arial"/>
          <w:color w:val="000000" w:themeColor="text1"/>
        </w:rPr>
      </w:pPr>
    </w:p>
    <w:tbl>
      <w:tblPr>
        <w:tblW w:w="946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67"/>
      </w:tblGrid>
      <w:tr w:rsidR="00242C90">
        <w:trPr>
          <w:trHeight w:val="4467"/>
        </w:trPr>
        <w:tc>
          <w:tcPr>
            <w:tcW w:w="9467" w:type="dxa"/>
          </w:tcPr>
          <w:p w:rsidR="00242C90" w:rsidRPr="00521F20" w:rsidRDefault="00242C90" w:rsidP="00242C90">
            <w:pPr>
              <w:ind w:left="176"/>
              <w:jc w:val="both"/>
            </w:pPr>
            <w:r w:rsidRPr="00521F20">
              <w:rPr>
                <w:rFonts w:ascii="Helvetica" w:eastAsia="Times New Roman" w:hAnsi="Helvetica" w:cs="Times New Roman"/>
              </w:rPr>
              <w:t xml:space="preserve">La question engage le candidat dans sa relation au sujet, les raisons pour lesquelles il l’a choisi, et le questionnement auquel il est parvenu. Ce questionnement articule le ou les contenus disciplinaires sur le sujet et leurs implications, le candidat devant </w:t>
            </w:r>
            <w:proofErr w:type="spellStart"/>
            <w:r w:rsidRPr="00521F20">
              <w:rPr>
                <w:rFonts w:ascii="Helvetica" w:eastAsia="Times New Roman" w:hAnsi="Helvetica" w:cs="Times New Roman"/>
              </w:rPr>
              <w:t>répondre</w:t>
            </w:r>
            <w:proofErr w:type="spellEnd"/>
            <w:r w:rsidRPr="00521F20">
              <w:rPr>
                <w:rFonts w:ascii="Helvetica" w:eastAsia="Times New Roman" w:hAnsi="Helvetica" w:cs="Times New Roman"/>
              </w:rPr>
              <w:t xml:space="preserve"> </w:t>
            </w:r>
            <w:proofErr w:type="spellStart"/>
            <w:r w:rsidRPr="00521F20">
              <w:rPr>
                <w:rFonts w:ascii="Helvetica" w:eastAsia="Times New Roman" w:hAnsi="Helvetica" w:cs="Times New Roman"/>
              </w:rPr>
              <w:t>à</w:t>
            </w:r>
            <w:proofErr w:type="spellEnd"/>
            <w:r w:rsidRPr="00521F20">
              <w:rPr>
                <w:rFonts w:ascii="Helvetica" w:eastAsia="Times New Roman" w:hAnsi="Helvetica" w:cs="Times New Roman"/>
              </w:rPr>
              <w:t xml:space="preserve"> la question : en quoi le sujet constitue-t-il une question vive ? Avec quelles</w:t>
            </w:r>
            <w:r>
              <w:rPr>
                <w:rFonts w:ascii="Helvetica" w:eastAsia="Times New Roman" w:hAnsi="Helvetica" w:cs="Times New Roman"/>
              </w:rPr>
              <w:t xml:space="preserve"> </w:t>
            </w:r>
            <w:r w:rsidRPr="00521F20">
              <w:rPr>
                <w:rFonts w:ascii="Helvetica" w:eastAsia="Times New Roman" w:hAnsi="Helvetica" w:cs="Times New Roman"/>
              </w:rPr>
              <w:t>implications dans le monde ?</w:t>
            </w:r>
            <w:r w:rsidRPr="00521F20">
              <w:rPr>
                <w:rFonts w:ascii="Helvetica" w:eastAsia="Times New Roman" w:hAnsi="Helvetica" w:cs="Times New Roman"/>
                <w:position w:val="12"/>
                <w:sz w:val="16"/>
                <w:szCs w:val="16"/>
              </w:rPr>
              <w:t xml:space="preserve">22 </w:t>
            </w:r>
          </w:p>
          <w:p w:rsidR="00242C90" w:rsidRDefault="00242C90" w:rsidP="00242C90">
            <w:pPr>
              <w:ind w:left="177"/>
              <w:jc w:val="both"/>
              <w:rPr>
                <w:rFonts w:ascii="Helvetica" w:eastAsia="Times New Roman" w:hAnsi="Helvetica" w:cs="Times New Roman"/>
              </w:rPr>
            </w:pPr>
            <w:r w:rsidRPr="00521F20">
              <w:rPr>
                <w:sz w:val="20"/>
                <w:szCs w:val="20"/>
                <w:vertAlign w:val="superscript"/>
              </w:rPr>
              <w:t>22</w:t>
            </w:r>
            <w:r w:rsidRPr="00521F20">
              <w:rPr>
                <w:sz w:val="20"/>
                <w:szCs w:val="20"/>
              </w:rPr>
              <w:t xml:space="preserve"> Il s’agit d’aider le candidat à se situer en approfondissant la réponse à la question « Pourquoi ai-je choisi ce sujet ? ». Le risque serait en effet que le candidat ne répercute qu’une sous-partie du programme dans telle ou telle discipline, de façon plus ou moins docile. On a connu le travers de certains TPE où les enseignants distribuaient une liste de sujets en début d’année, parmi lesquels les élèves sont sommés de choisir ou encore de sujets traités les années précédentes revendus sur Internet. La question qui se pose à chaque candidat est bien : en quoi est-ce une question vive selon moi, avec quelles implications dans le monde ? On peut tout aussi bien envisager qu’un candidat déclare « question vive », une question importante selon lui, qui réponde à un centre d’intérêt singulier, qui puisse motiver un projet d’orientation dans l’enseignement supérieur ou professionnelle quand bien même ce ne serait pas un sujet d’actualité ni même une évidence aux yeux du jury. C’est le fait qu’il prenne position qui est intéressant. Une telle mise en perspective doit aider le candidat à mobiliser une éventuelle approche interdisciplinaire.</w:t>
            </w:r>
            <w:r w:rsidR="00486D42">
              <w:rPr>
                <w:rStyle w:val="Marquenotebasdepage"/>
                <w:sz w:val="20"/>
                <w:szCs w:val="20"/>
              </w:rPr>
              <w:footnoteReference w:id="2"/>
            </w:r>
          </w:p>
        </w:tc>
      </w:tr>
    </w:tbl>
    <w:p w:rsidR="00242C90" w:rsidRDefault="00242C90">
      <w:pPr>
        <w:rPr>
          <w:rFonts w:ascii="Arial" w:hAnsi="Arial" w:cs="Arial"/>
          <w:color w:val="000000" w:themeColor="text1"/>
        </w:rPr>
      </w:pPr>
    </w:p>
    <w:p w:rsidR="00BC585D" w:rsidRDefault="00242C90">
      <w:pPr>
        <w:rPr>
          <w:rFonts w:ascii="Arial" w:hAnsi="Arial" w:cs="Arial"/>
          <w:color w:val="000000" w:themeColor="text1"/>
        </w:rPr>
      </w:pPr>
      <w:r>
        <w:rPr>
          <w:rFonts w:ascii="Arial" w:hAnsi="Arial" w:cs="Arial"/>
          <w:color w:val="000000" w:themeColor="text1"/>
        </w:rPr>
        <w:t>Le préambule des programmes d’arts plastiques précise</w:t>
      </w:r>
      <w:r w:rsidR="00CF4CC4">
        <w:rPr>
          <w:rFonts w:ascii="Arial" w:hAnsi="Arial" w:cs="Arial"/>
          <w:color w:val="000000" w:themeColor="text1"/>
        </w:rPr>
        <w:t> :</w:t>
      </w:r>
    </w:p>
    <w:p w:rsidR="00BC585D" w:rsidRDefault="00BC585D">
      <w:pPr>
        <w:rPr>
          <w:rFonts w:ascii="Arial" w:hAnsi="Arial" w:cs="Arial"/>
          <w:color w:val="000000" w:themeColor="text1"/>
        </w:rPr>
      </w:pPr>
    </w:p>
    <w:tbl>
      <w:tblPr>
        <w:tblW w:w="944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40"/>
      </w:tblGrid>
      <w:tr w:rsidR="00483D53">
        <w:trPr>
          <w:trHeight w:val="2053"/>
        </w:trPr>
        <w:tc>
          <w:tcPr>
            <w:tcW w:w="9440" w:type="dxa"/>
            <w:shd w:val="clear" w:color="auto" w:fill="D9E2F3" w:themeFill="accent1" w:themeFillTint="33"/>
          </w:tcPr>
          <w:p w:rsidR="00483D53" w:rsidRDefault="00483D53" w:rsidP="00483D53">
            <w:pPr>
              <w:ind w:left="164"/>
              <w:rPr>
                <w:rFonts w:ascii="Arial" w:hAnsi="Arial" w:cs="Arial"/>
                <w:i/>
                <w:iCs/>
                <w:color w:val="000000" w:themeColor="text1"/>
              </w:rPr>
            </w:pPr>
            <w:r>
              <w:rPr>
                <w:rFonts w:ascii="Arial" w:hAnsi="Arial" w:cs="Arial"/>
                <w:i/>
                <w:iCs/>
                <w:color w:val="000000" w:themeColor="text1"/>
              </w:rPr>
              <w:t>Les formes multiples de la pratique, les projets et les productions réalisés constituent des supports particulièrement propices au grand oral du baccalauréat. En outre, nombre de questionnements travaillés, de démarches et de langages plastiques mobilisés peuvent suscités des appariements fructueux avec divers enseignements et spécialité : autres enseignements artistiques, disciplines scientifiques et domaines touchant au numérique, disciplines littéraires, linguistiques ou des humanités, des sciences économiques et sociales</w:t>
            </w:r>
            <w:r>
              <w:rPr>
                <w:rStyle w:val="Marquenotebasdepage"/>
                <w:rFonts w:ascii="Arial" w:hAnsi="Arial" w:cs="Arial"/>
                <w:i/>
                <w:iCs/>
                <w:color w:val="000000" w:themeColor="text1"/>
              </w:rPr>
              <w:footnoteReference w:id="3"/>
            </w:r>
            <w:r>
              <w:rPr>
                <w:rFonts w:ascii="Arial" w:hAnsi="Arial" w:cs="Arial"/>
                <w:i/>
                <w:iCs/>
                <w:color w:val="000000" w:themeColor="text1"/>
              </w:rPr>
              <w:t>.</w:t>
            </w:r>
          </w:p>
        </w:tc>
      </w:tr>
    </w:tbl>
    <w:p w:rsidR="00483D53" w:rsidRDefault="00483D53">
      <w:pPr>
        <w:rPr>
          <w:rFonts w:ascii="Arial" w:hAnsi="Arial" w:cs="Arial"/>
          <w:color w:val="000000" w:themeColor="text1"/>
        </w:rPr>
      </w:pPr>
    </w:p>
    <w:p w:rsidR="00242C90" w:rsidRDefault="00483D53">
      <w:pPr>
        <w:rPr>
          <w:rFonts w:ascii="Arial" w:hAnsi="Arial" w:cs="Arial"/>
          <w:color w:val="000000" w:themeColor="text1"/>
        </w:rPr>
      </w:pPr>
      <w:r>
        <w:rPr>
          <w:rFonts w:ascii="Arial" w:hAnsi="Arial" w:cs="Arial"/>
          <w:color w:val="000000" w:themeColor="text1"/>
        </w:rPr>
        <w:t>L’analyse croisée des deux textes se fonde sur les trois entrées de l’épreuve :</w:t>
      </w:r>
      <w:r w:rsidR="00242C90">
        <w:rPr>
          <w:rFonts w:ascii="Arial" w:hAnsi="Arial" w:cs="Arial"/>
          <w:color w:val="000000" w:themeColor="text1"/>
        </w:rPr>
        <w:br w:type="page"/>
      </w:r>
    </w:p>
    <w:p w:rsidR="00C63F17" w:rsidRDefault="00C63F17" w:rsidP="007F4844">
      <w:pPr>
        <w:jc w:val="both"/>
        <w:rPr>
          <w:rFonts w:ascii="Arial" w:hAnsi="Arial" w:cs="Arial"/>
          <w:color w:val="000000" w:themeColor="text1"/>
        </w:rPr>
      </w:pPr>
      <w:r>
        <w:rPr>
          <w:rFonts w:ascii="Arial" w:hAnsi="Arial" w:cs="Arial"/>
          <w:color w:val="000000" w:themeColor="text1"/>
        </w:rPr>
        <w:t>-S’engager et convaincre</w:t>
      </w:r>
    </w:p>
    <w:p w:rsidR="00C63F17" w:rsidRDefault="00C63F17" w:rsidP="007F4844">
      <w:pPr>
        <w:jc w:val="both"/>
        <w:rPr>
          <w:rFonts w:ascii="Arial" w:hAnsi="Arial" w:cs="Arial"/>
          <w:color w:val="000000" w:themeColor="text1"/>
        </w:rPr>
      </w:pPr>
      <w:r>
        <w:rPr>
          <w:rFonts w:ascii="Arial" w:hAnsi="Arial" w:cs="Arial"/>
          <w:color w:val="000000" w:themeColor="text1"/>
        </w:rPr>
        <w:t>-Dialoguer</w:t>
      </w:r>
    </w:p>
    <w:p w:rsidR="00C63F17" w:rsidRDefault="00C63F17" w:rsidP="007F4844">
      <w:pPr>
        <w:jc w:val="both"/>
        <w:rPr>
          <w:rFonts w:ascii="Arial" w:hAnsi="Arial" w:cs="Arial"/>
          <w:color w:val="000000" w:themeColor="text1"/>
        </w:rPr>
      </w:pPr>
      <w:r>
        <w:rPr>
          <w:rFonts w:ascii="Arial" w:hAnsi="Arial" w:cs="Arial"/>
          <w:color w:val="000000" w:themeColor="text1"/>
        </w:rPr>
        <w:t>-Revenir sur sa réflexion et exprimer une pensée en acte</w:t>
      </w:r>
    </w:p>
    <w:p w:rsidR="00C63F17" w:rsidRDefault="00C63F17" w:rsidP="00C63F17">
      <w:pPr>
        <w:rPr>
          <w:rFonts w:ascii="Arial" w:hAnsi="Arial" w:cs="Arial"/>
          <w:color w:val="000000" w:themeColor="text1"/>
        </w:rPr>
      </w:pPr>
    </w:p>
    <w:tbl>
      <w:tblPr>
        <w:tblStyle w:val="GridTable6ColorfulAccent1"/>
        <w:tblW w:w="9115" w:type="dxa"/>
        <w:tblLook w:val="04A0"/>
      </w:tblPr>
      <w:tblGrid>
        <w:gridCol w:w="2278"/>
        <w:gridCol w:w="2527"/>
        <w:gridCol w:w="2026"/>
        <w:gridCol w:w="2284"/>
      </w:tblGrid>
      <w:tr w:rsidR="00C63F17">
        <w:trPr>
          <w:cnfStyle w:val="100000000000"/>
          <w:trHeight w:val="1179"/>
        </w:trPr>
        <w:tc>
          <w:tcPr>
            <w:cnfStyle w:val="001000000000"/>
            <w:tcW w:w="9115" w:type="dxa"/>
            <w:gridSpan w:val="4"/>
            <w:tcBorders>
              <w:right w:val="single" w:sz="4" w:space="0" w:color="auto"/>
            </w:tcBorders>
          </w:tcPr>
          <w:p w:rsidR="00C63F17" w:rsidRDefault="00C63F17" w:rsidP="008911DA">
            <w:pPr>
              <w:pStyle w:val="NormalWeb"/>
              <w:jc w:val="center"/>
              <w:rPr>
                <w:rFonts w:ascii="Helvetica,Bold" w:hAnsi="Helvetica,Bold"/>
                <w:b w:val="0"/>
                <w:bCs w:val="0"/>
                <w:color w:val="4F7FBC"/>
                <w:sz w:val="22"/>
                <w:szCs w:val="22"/>
              </w:rPr>
            </w:pPr>
          </w:p>
          <w:p w:rsidR="00C63F17" w:rsidRPr="00336F9D" w:rsidRDefault="00C63F17" w:rsidP="008911DA">
            <w:pPr>
              <w:pStyle w:val="NormalWeb"/>
              <w:jc w:val="center"/>
            </w:pPr>
            <w:r>
              <w:rPr>
                <w:rFonts w:ascii="Helvetica,Bold" w:hAnsi="Helvetica,Bold"/>
                <w:color w:val="4F7FBC"/>
                <w:sz w:val="22"/>
                <w:szCs w:val="22"/>
              </w:rPr>
              <w:t>Grand oral : descripteurs de réussite (jalons)</w:t>
            </w:r>
            <w:r w:rsidR="006F3013">
              <w:rPr>
                <w:rStyle w:val="Marquenotebasdepage"/>
                <w:rFonts w:ascii="Helvetica,Bold" w:hAnsi="Helvetica,Bold"/>
                <w:color w:val="4F7FBC"/>
                <w:sz w:val="22"/>
                <w:szCs w:val="22"/>
              </w:rPr>
              <w:footnoteReference w:id="4"/>
            </w:r>
          </w:p>
        </w:tc>
      </w:tr>
      <w:tr w:rsidR="00C63F17">
        <w:trPr>
          <w:cnfStyle w:val="000000100000"/>
          <w:trHeight w:val="1336"/>
        </w:trPr>
        <w:tc>
          <w:tcPr>
            <w:cnfStyle w:val="001000000000"/>
            <w:tcW w:w="2278" w:type="dxa"/>
          </w:tcPr>
          <w:p w:rsidR="00C63F17" w:rsidRDefault="00C63F17" w:rsidP="008911DA">
            <w:pPr>
              <w:rPr>
                <w:sz w:val="20"/>
                <w:szCs w:val="20"/>
              </w:rPr>
            </w:pPr>
          </w:p>
        </w:tc>
        <w:tc>
          <w:tcPr>
            <w:tcW w:w="2527" w:type="dxa"/>
          </w:tcPr>
          <w:p w:rsidR="00C63F17" w:rsidRDefault="00C63F17" w:rsidP="008911DA">
            <w:pPr>
              <w:jc w:val="center"/>
              <w:cnfStyle w:val="000000100000"/>
              <w:rPr>
                <w:sz w:val="20"/>
                <w:szCs w:val="20"/>
              </w:rPr>
            </w:pPr>
            <w:r>
              <w:rPr>
                <w:sz w:val="20"/>
                <w:szCs w:val="20"/>
              </w:rPr>
              <w:t>Etape 1</w:t>
            </w:r>
          </w:p>
          <w:p w:rsidR="00C63F17" w:rsidRDefault="00C63F17" w:rsidP="008911DA">
            <w:pPr>
              <w:jc w:val="center"/>
              <w:cnfStyle w:val="000000100000"/>
              <w:rPr>
                <w:sz w:val="20"/>
                <w:szCs w:val="20"/>
              </w:rPr>
            </w:pPr>
            <w:r>
              <w:rPr>
                <w:sz w:val="20"/>
                <w:szCs w:val="20"/>
              </w:rPr>
              <w:t>Présentation initiale</w:t>
            </w:r>
          </w:p>
          <w:p w:rsidR="00C63F17" w:rsidRPr="00C63F17" w:rsidRDefault="00C63F17" w:rsidP="008911DA">
            <w:pPr>
              <w:jc w:val="center"/>
              <w:cnfStyle w:val="000000100000"/>
              <w:rPr>
                <w:b/>
                <w:bCs/>
                <w:sz w:val="20"/>
                <w:szCs w:val="20"/>
              </w:rPr>
            </w:pPr>
            <w:r w:rsidRPr="00C63F17">
              <w:rPr>
                <w:b/>
                <w:bCs/>
                <w:sz w:val="20"/>
                <w:szCs w:val="20"/>
              </w:rPr>
              <w:t>S’engager et convaincre</w:t>
            </w:r>
          </w:p>
          <w:p w:rsidR="00C63F17" w:rsidRPr="00336F9D" w:rsidRDefault="00C63F17" w:rsidP="008911DA">
            <w:pPr>
              <w:jc w:val="center"/>
              <w:cnfStyle w:val="000000100000"/>
              <w:rPr>
                <w:i/>
                <w:iCs/>
                <w:sz w:val="20"/>
                <w:szCs w:val="20"/>
              </w:rPr>
            </w:pPr>
            <w:r>
              <w:rPr>
                <w:i/>
                <w:iCs/>
                <w:sz w:val="20"/>
                <w:szCs w:val="20"/>
              </w:rPr>
              <w:t>10 points</w:t>
            </w:r>
          </w:p>
        </w:tc>
        <w:tc>
          <w:tcPr>
            <w:tcW w:w="2026" w:type="dxa"/>
          </w:tcPr>
          <w:p w:rsidR="00C63F17" w:rsidRDefault="00C63F17" w:rsidP="008911DA">
            <w:pPr>
              <w:jc w:val="center"/>
              <w:cnfStyle w:val="000000100000"/>
              <w:rPr>
                <w:sz w:val="20"/>
                <w:szCs w:val="20"/>
              </w:rPr>
            </w:pPr>
            <w:r>
              <w:rPr>
                <w:sz w:val="20"/>
                <w:szCs w:val="20"/>
              </w:rPr>
              <w:t>Etape 2</w:t>
            </w:r>
          </w:p>
          <w:p w:rsidR="00C63F17" w:rsidRPr="00C63F17" w:rsidRDefault="00C63F17" w:rsidP="008911DA">
            <w:pPr>
              <w:jc w:val="center"/>
              <w:cnfStyle w:val="000000100000"/>
              <w:rPr>
                <w:b/>
                <w:bCs/>
                <w:sz w:val="20"/>
                <w:szCs w:val="20"/>
              </w:rPr>
            </w:pPr>
            <w:r w:rsidRPr="00C63F17">
              <w:rPr>
                <w:b/>
                <w:bCs/>
                <w:sz w:val="20"/>
                <w:szCs w:val="20"/>
              </w:rPr>
              <w:t>Dialoguer avec le jury</w:t>
            </w:r>
          </w:p>
          <w:p w:rsidR="00C63F17" w:rsidRPr="00C338F5" w:rsidRDefault="00C63F17" w:rsidP="008911DA">
            <w:pPr>
              <w:jc w:val="center"/>
              <w:cnfStyle w:val="000000100000"/>
              <w:rPr>
                <w:i/>
                <w:iCs/>
                <w:sz w:val="20"/>
                <w:szCs w:val="20"/>
              </w:rPr>
            </w:pPr>
            <w:r>
              <w:rPr>
                <w:i/>
                <w:iCs/>
                <w:sz w:val="20"/>
                <w:szCs w:val="20"/>
              </w:rPr>
              <w:t>5 points</w:t>
            </w:r>
          </w:p>
        </w:tc>
        <w:tc>
          <w:tcPr>
            <w:tcW w:w="2283" w:type="dxa"/>
          </w:tcPr>
          <w:p w:rsidR="00C63F17" w:rsidRDefault="00C63F17" w:rsidP="008911DA">
            <w:pPr>
              <w:jc w:val="center"/>
              <w:cnfStyle w:val="000000100000"/>
              <w:rPr>
                <w:sz w:val="20"/>
                <w:szCs w:val="20"/>
              </w:rPr>
            </w:pPr>
            <w:r>
              <w:rPr>
                <w:sz w:val="20"/>
                <w:szCs w:val="20"/>
              </w:rPr>
              <w:t>Etape 3</w:t>
            </w:r>
          </w:p>
          <w:p w:rsidR="00C63F17" w:rsidRPr="00C63F17" w:rsidRDefault="00C63F17" w:rsidP="008911DA">
            <w:pPr>
              <w:jc w:val="center"/>
              <w:cnfStyle w:val="000000100000"/>
              <w:rPr>
                <w:b/>
                <w:bCs/>
                <w:sz w:val="20"/>
                <w:szCs w:val="20"/>
              </w:rPr>
            </w:pPr>
            <w:r w:rsidRPr="00C63F17">
              <w:rPr>
                <w:b/>
                <w:bCs/>
                <w:sz w:val="20"/>
                <w:szCs w:val="20"/>
              </w:rPr>
              <w:t xml:space="preserve">Revenir sur sa </w:t>
            </w:r>
            <w:proofErr w:type="spellStart"/>
            <w:r w:rsidRPr="00C63F17">
              <w:rPr>
                <w:b/>
                <w:bCs/>
                <w:sz w:val="20"/>
                <w:szCs w:val="20"/>
              </w:rPr>
              <w:t>réflexion</w:t>
            </w:r>
            <w:proofErr w:type="spellEnd"/>
            <w:r w:rsidRPr="00C63F17">
              <w:rPr>
                <w:b/>
                <w:bCs/>
                <w:sz w:val="20"/>
                <w:szCs w:val="20"/>
              </w:rPr>
              <w:t xml:space="preserve"> et exprimer une</w:t>
            </w:r>
          </w:p>
          <w:p w:rsidR="00C63F17" w:rsidRPr="00C63F17" w:rsidRDefault="00C63F17" w:rsidP="008911DA">
            <w:pPr>
              <w:jc w:val="center"/>
              <w:cnfStyle w:val="000000100000"/>
              <w:rPr>
                <w:b/>
                <w:bCs/>
                <w:sz w:val="20"/>
                <w:szCs w:val="20"/>
              </w:rPr>
            </w:pPr>
            <w:proofErr w:type="spellStart"/>
            <w:r w:rsidRPr="00C63F17">
              <w:rPr>
                <w:b/>
                <w:bCs/>
                <w:sz w:val="20"/>
                <w:szCs w:val="20"/>
              </w:rPr>
              <w:t>pensée</w:t>
            </w:r>
            <w:proofErr w:type="spellEnd"/>
            <w:r w:rsidRPr="00C63F17">
              <w:rPr>
                <w:b/>
                <w:bCs/>
                <w:sz w:val="20"/>
                <w:szCs w:val="20"/>
              </w:rPr>
              <w:t xml:space="preserve"> en acte</w:t>
            </w:r>
          </w:p>
          <w:p w:rsidR="00C63F17" w:rsidRPr="00C338F5" w:rsidRDefault="00C63F17" w:rsidP="008911DA">
            <w:pPr>
              <w:ind w:firstLine="708"/>
              <w:cnfStyle w:val="000000100000"/>
              <w:rPr>
                <w:i/>
                <w:iCs/>
                <w:sz w:val="20"/>
                <w:szCs w:val="20"/>
              </w:rPr>
            </w:pPr>
            <w:r w:rsidRPr="00C338F5">
              <w:rPr>
                <w:i/>
                <w:iCs/>
                <w:sz w:val="20"/>
                <w:szCs w:val="20"/>
              </w:rPr>
              <w:t xml:space="preserve">5 points </w:t>
            </w:r>
          </w:p>
        </w:tc>
      </w:tr>
      <w:tr w:rsidR="00C63F17">
        <w:trPr>
          <w:trHeight w:val="890"/>
        </w:trPr>
        <w:tc>
          <w:tcPr>
            <w:cnfStyle w:val="001000000000"/>
            <w:tcW w:w="2278" w:type="dxa"/>
          </w:tcPr>
          <w:p w:rsidR="00C63F17" w:rsidRDefault="00C63F17" w:rsidP="008911DA">
            <w:pPr>
              <w:rPr>
                <w:sz w:val="20"/>
                <w:szCs w:val="20"/>
              </w:rPr>
            </w:pPr>
            <w:r>
              <w:rPr>
                <w:sz w:val="20"/>
                <w:szCs w:val="20"/>
              </w:rPr>
              <w:t>Mobilisation des ressources physiques</w:t>
            </w:r>
          </w:p>
        </w:tc>
        <w:tc>
          <w:tcPr>
            <w:tcW w:w="2527" w:type="dxa"/>
          </w:tcPr>
          <w:p w:rsidR="00C63F17" w:rsidRDefault="00C63F17" w:rsidP="008911DA">
            <w:pPr>
              <w:jc w:val="center"/>
              <w:cnfStyle w:val="000000000000"/>
              <w:rPr>
                <w:sz w:val="20"/>
                <w:szCs w:val="20"/>
              </w:rPr>
            </w:pPr>
            <w:r w:rsidRPr="00C338F5">
              <w:rPr>
                <w:sz w:val="20"/>
                <w:szCs w:val="20"/>
              </w:rPr>
              <w:t xml:space="preserve">Respect du temps imparti ; </w:t>
            </w:r>
            <w:proofErr w:type="spellStart"/>
            <w:r w:rsidRPr="00C338F5">
              <w:rPr>
                <w:sz w:val="20"/>
                <w:szCs w:val="20"/>
              </w:rPr>
              <w:t>fluidité</w:t>
            </w:r>
            <w:proofErr w:type="spellEnd"/>
            <w:r w:rsidRPr="00C338F5">
              <w:rPr>
                <w:sz w:val="20"/>
                <w:szCs w:val="20"/>
              </w:rPr>
              <w:t xml:space="preserve"> ; gestion du stress ; engagement vocal ; coordination physique. </w:t>
            </w:r>
          </w:p>
        </w:tc>
        <w:tc>
          <w:tcPr>
            <w:tcW w:w="2026" w:type="dxa"/>
          </w:tcPr>
          <w:p w:rsidR="00C63F17" w:rsidRPr="00C338F5" w:rsidRDefault="00C63F17" w:rsidP="008911DA">
            <w:pPr>
              <w:jc w:val="center"/>
              <w:cnfStyle w:val="000000000000"/>
              <w:rPr>
                <w:sz w:val="20"/>
                <w:szCs w:val="20"/>
              </w:rPr>
            </w:pPr>
            <w:r w:rsidRPr="00C338F5">
              <w:rPr>
                <w:sz w:val="20"/>
                <w:szCs w:val="20"/>
              </w:rPr>
              <w:t xml:space="preserve">Rester mobilisé, disponible et tonique. </w:t>
            </w:r>
          </w:p>
          <w:p w:rsidR="00C63F17" w:rsidRDefault="00C63F17" w:rsidP="008911DA">
            <w:pPr>
              <w:jc w:val="center"/>
              <w:cnfStyle w:val="000000000000"/>
              <w:rPr>
                <w:sz w:val="20"/>
                <w:szCs w:val="20"/>
              </w:rPr>
            </w:pPr>
          </w:p>
        </w:tc>
        <w:tc>
          <w:tcPr>
            <w:tcW w:w="2283" w:type="dxa"/>
          </w:tcPr>
          <w:p w:rsidR="00C63F17" w:rsidRPr="00C338F5" w:rsidRDefault="00C63F17" w:rsidP="008911DA">
            <w:pPr>
              <w:jc w:val="center"/>
              <w:cnfStyle w:val="000000000000"/>
              <w:rPr>
                <w:sz w:val="20"/>
                <w:szCs w:val="20"/>
              </w:rPr>
            </w:pPr>
            <w:r w:rsidRPr="00C338F5">
              <w:rPr>
                <w:sz w:val="20"/>
                <w:szCs w:val="20"/>
              </w:rPr>
              <w:t xml:space="preserve">Rester mobilisé, disponible et tonique. </w:t>
            </w:r>
          </w:p>
          <w:p w:rsidR="00C63F17" w:rsidRDefault="00C63F17" w:rsidP="008911DA">
            <w:pPr>
              <w:jc w:val="center"/>
              <w:cnfStyle w:val="000000000000"/>
              <w:rPr>
                <w:sz w:val="20"/>
                <w:szCs w:val="20"/>
              </w:rPr>
            </w:pPr>
          </w:p>
        </w:tc>
      </w:tr>
      <w:tr w:rsidR="00C63F17">
        <w:trPr>
          <w:cnfStyle w:val="000000100000"/>
          <w:trHeight w:val="874"/>
        </w:trPr>
        <w:tc>
          <w:tcPr>
            <w:cnfStyle w:val="001000000000"/>
            <w:tcW w:w="2278" w:type="dxa"/>
          </w:tcPr>
          <w:p w:rsidR="00C63F17" w:rsidRDefault="00C63F17" w:rsidP="008911DA">
            <w:pPr>
              <w:rPr>
                <w:sz w:val="20"/>
                <w:szCs w:val="20"/>
              </w:rPr>
            </w:pPr>
            <w:r>
              <w:rPr>
                <w:sz w:val="20"/>
                <w:szCs w:val="20"/>
              </w:rPr>
              <w:t>Clarté et pertinence du propos</w:t>
            </w:r>
          </w:p>
        </w:tc>
        <w:tc>
          <w:tcPr>
            <w:tcW w:w="2527" w:type="dxa"/>
          </w:tcPr>
          <w:p w:rsidR="00C63F17" w:rsidRPr="00C338F5" w:rsidRDefault="00C63F17" w:rsidP="008911DA">
            <w:pPr>
              <w:jc w:val="center"/>
              <w:cnfStyle w:val="000000100000"/>
              <w:rPr>
                <w:sz w:val="20"/>
                <w:szCs w:val="20"/>
              </w:rPr>
            </w:pPr>
            <w:r w:rsidRPr="00C338F5">
              <w:rPr>
                <w:sz w:val="20"/>
                <w:szCs w:val="20"/>
              </w:rPr>
              <w:t xml:space="preserve">Propos clair explicitant de </w:t>
            </w:r>
            <w:proofErr w:type="spellStart"/>
            <w:r w:rsidRPr="00C338F5">
              <w:rPr>
                <w:sz w:val="20"/>
                <w:szCs w:val="20"/>
              </w:rPr>
              <w:t>façon</w:t>
            </w:r>
            <w:proofErr w:type="spellEnd"/>
            <w:r w:rsidRPr="00C338F5">
              <w:rPr>
                <w:sz w:val="20"/>
                <w:szCs w:val="20"/>
              </w:rPr>
              <w:t xml:space="preserve"> convaincante et pertinente les enjeux. </w:t>
            </w:r>
          </w:p>
          <w:p w:rsidR="00C63F17" w:rsidRDefault="00C63F17" w:rsidP="008911DA">
            <w:pPr>
              <w:jc w:val="center"/>
              <w:cnfStyle w:val="000000100000"/>
              <w:rPr>
                <w:sz w:val="20"/>
                <w:szCs w:val="20"/>
              </w:rPr>
            </w:pPr>
          </w:p>
        </w:tc>
        <w:tc>
          <w:tcPr>
            <w:tcW w:w="2026" w:type="dxa"/>
          </w:tcPr>
          <w:p w:rsidR="00C63F17" w:rsidRPr="00C338F5" w:rsidRDefault="00C63F17" w:rsidP="008911DA">
            <w:pPr>
              <w:jc w:val="center"/>
              <w:cnfStyle w:val="000000100000"/>
              <w:rPr>
                <w:sz w:val="20"/>
                <w:szCs w:val="20"/>
              </w:rPr>
            </w:pPr>
            <w:proofErr w:type="spellStart"/>
            <w:r w:rsidRPr="00C338F5">
              <w:rPr>
                <w:sz w:val="20"/>
                <w:szCs w:val="20"/>
              </w:rPr>
              <w:t>Précision</w:t>
            </w:r>
            <w:proofErr w:type="spellEnd"/>
            <w:r w:rsidRPr="00C338F5">
              <w:rPr>
                <w:sz w:val="20"/>
                <w:szCs w:val="20"/>
              </w:rPr>
              <w:t xml:space="preserve"> ; </w:t>
            </w:r>
            <w:proofErr w:type="spellStart"/>
            <w:r w:rsidRPr="00C338F5">
              <w:rPr>
                <w:sz w:val="20"/>
                <w:szCs w:val="20"/>
              </w:rPr>
              <w:t>maîtrise</w:t>
            </w:r>
            <w:proofErr w:type="spellEnd"/>
            <w:r w:rsidRPr="00C338F5">
              <w:rPr>
                <w:sz w:val="20"/>
                <w:szCs w:val="20"/>
              </w:rPr>
              <w:t xml:space="preserve"> des contenus ; rigueur intellectuelle ; </w:t>
            </w:r>
            <w:proofErr w:type="spellStart"/>
            <w:r w:rsidRPr="00C338F5">
              <w:rPr>
                <w:sz w:val="20"/>
                <w:szCs w:val="20"/>
              </w:rPr>
              <w:t>réflexion</w:t>
            </w:r>
            <w:proofErr w:type="spellEnd"/>
            <w:r w:rsidRPr="00C338F5">
              <w:rPr>
                <w:sz w:val="20"/>
                <w:szCs w:val="20"/>
              </w:rPr>
              <w:t xml:space="preserve"> personnelle. </w:t>
            </w:r>
          </w:p>
          <w:p w:rsidR="00C63F17" w:rsidRDefault="00C63F17" w:rsidP="008911DA">
            <w:pPr>
              <w:jc w:val="center"/>
              <w:cnfStyle w:val="000000100000"/>
              <w:rPr>
                <w:sz w:val="20"/>
                <w:szCs w:val="20"/>
              </w:rPr>
            </w:pPr>
          </w:p>
        </w:tc>
        <w:tc>
          <w:tcPr>
            <w:tcW w:w="2283" w:type="dxa"/>
          </w:tcPr>
          <w:p w:rsidR="00C63F17" w:rsidRPr="00C338F5" w:rsidRDefault="00C63F17" w:rsidP="008911DA">
            <w:pPr>
              <w:jc w:val="center"/>
              <w:cnfStyle w:val="000000100000"/>
              <w:rPr>
                <w:sz w:val="20"/>
                <w:szCs w:val="20"/>
              </w:rPr>
            </w:pPr>
            <w:proofErr w:type="spellStart"/>
            <w:r w:rsidRPr="00C338F5">
              <w:rPr>
                <w:sz w:val="20"/>
                <w:szCs w:val="20"/>
              </w:rPr>
              <w:t>Capacité</w:t>
            </w:r>
            <w:proofErr w:type="spellEnd"/>
            <w:r w:rsidRPr="00C338F5">
              <w:rPr>
                <w:sz w:val="20"/>
                <w:szCs w:val="20"/>
              </w:rPr>
              <w:t xml:space="preserve"> à revenir le cas </w:t>
            </w:r>
            <w:proofErr w:type="spellStart"/>
            <w:r w:rsidRPr="00C338F5">
              <w:rPr>
                <w:sz w:val="20"/>
                <w:szCs w:val="20"/>
              </w:rPr>
              <w:t>échéant</w:t>
            </w:r>
            <w:proofErr w:type="spellEnd"/>
            <w:r w:rsidRPr="00C338F5">
              <w:rPr>
                <w:sz w:val="20"/>
                <w:szCs w:val="20"/>
              </w:rPr>
              <w:t xml:space="preserve"> sur son propos et à l’enrichir ; mobilisation des arguments les plus pertinents dans une approche </w:t>
            </w:r>
            <w:proofErr w:type="spellStart"/>
            <w:r w:rsidRPr="00C338F5">
              <w:rPr>
                <w:sz w:val="20"/>
                <w:szCs w:val="20"/>
              </w:rPr>
              <w:t>différente</w:t>
            </w:r>
            <w:proofErr w:type="spellEnd"/>
            <w:r w:rsidRPr="00C338F5">
              <w:rPr>
                <w:sz w:val="20"/>
                <w:szCs w:val="20"/>
              </w:rPr>
              <w:t xml:space="preserve"> ; </w:t>
            </w:r>
            <w:proofErr w:type="spellStart"/>
            <w:r w:rsidRPr="00C338F5">
              <w:rPr>
                <w:sz w:val="20"/>
                <w:szCs w:val="20"/>
              </w:rPr>
              <w:t>inventivité</w:t>
            </w:r>
            <w:proofErr w:type="spellEnd"/>
            <w:r w:rsidRPr="00C338F5">
              <w:rPr>
                <w:sz w:val="20"/>
                <w:szCs w:val="20"/>
              </w:rPr>
              <w:t xml:space="preserve">. </w:t>
            </w:r>
          </w:p>
          <w:p w:rsidR="00C63F17" w:rsidRDefault="00C63F17" w:rsidP="008911DA">
            <w:pPr>
              <w:jc w:val="center"/>
              <w:cnfStyle w:val="000000100000"/>
              <w:rPr>
                <w:sz w:val="20"/>
                <w:szCs w:val="20"/>
              </w:rPr>
            </w:pPr>
          </w:p>
        </w:tc>
      </w:tr>
      <w:tr w:rsidR="00C63F17">
        <w:trPr>
          <w:trHeight w:val="598"/>
        </w:trPr>
        <w:tc>
          <w:tcPr>
            <w:cnfStyle w:val="001000000000"/>
            <w:tcW w:w="2278" w:type="dxa"/>
          </w:tcPr>
          <w:p w:rsidR="00C63F17" w:rsidRDefault="00C63F17" w:rsidP="008911DA">
            <w:pPr>
              <w:rPr>
                <w:sz w:val="20"/>
                <w:szCs w:val="20"/>
              </w:rPr>
            </w:pPr>
            <w:r>
              <w:rPr>
                <w:sz w:val="20"/>
                <w:szCs w:val="20"/>
              </w:rPr>
              <w:t>Qualité de l’interaction</w:t>
            </w:r>
          </w:p>
        </w:tc>
        <w:tc>
          <w:tcPr>
            <w:tcW w:w="2527" w:type="dxa"/>
          </w:tcPr>
          <w:p w:rsidR="00C63F17" w:rsidRPr="00C338F5" w:rsidRDefault="00C63F17" w:rsidP="008911DA">
            <w:pPr>
              <w:jc w:val="center"/>
              <w:cnfStyle w:val="000000000000"/>
              <w:rPr>
                <w:sz w:val="20"/>
                <w:szCs w:val="20"/>
              </w:rPr>
            </w:pPr>
            <w:r w:rsidRPr="00C338F5">
              <w:rPr>
                <w:sz w:val="20"/>
                <w:szCs w:val="20"/>
              </w:rPr>
              <w:t xml:space="preserve">Propos rythmé tenant compte de l’auditoire ; </w:t>
            </w:r>
            <w:proofErr w:type="spellStart"/>
            <w:r w:rsidRPr="00C338F5">
              <w:rPr>
                <w:sz w:val="20"/>
                <w:szCs w:val="20"/>
              </w:rPr>
              <w:t>maîtrise</w:t>
            </w:r>
            <w:proofErr w:type="spellEnd"/>
            <w:r w:rsidRPr="00C338F5">
              <w:rPr>
                <w:sz w:val="20"/>
                <w:szCs w:val="20"/>
              </w:rPr>
              <w:t xml:space="preserve"> des silences ; regard qui </w:t>
            </w:r>
            <w:proofErr w:type="spellStart"/>
            <w:r w:rsidRPr="00C338F5">
              <w:rPr>
                <w:sz w:val="20"/>
                <w:szCs w:val="20"/>
              </w:rPr>
              <w:t>écoute</w:t>
            </w:r>
            <w:proofErr w:type="spellEnd"/>
            <w:r w:rsidRPr="00C338F5">
              <w:rPr>
                <w:sz w:val="20"/>
                <w:szCs w:val="20"/>
              </w:rPr>
              <w:t xml:space="preserve">. </w:t>
            </w:r>
          </w:p>
          <w:p w:rsidR="00C63F17" w:rsidRDefault="00C63F17" w:rsidP="008911DA">
            <w:pPr>
              <w:jc w:val="center"/>
              <w:cnfStyle w:val="000000000000"/>
              <w:rPr>
                <w:sz w:val="20"/>
                <w:szCs w:val="20"/>
              </w:rPr>
            </w:pPr>
          </w:p>
        </w:tc>
        <w:tc>
          <w:tcPr>
            <w:tcW w:w="2026" w:type="dxa"/>
          </w:tcPr>
          <w:p w:rsidR="00C63F17" w:rsidRPr="00C338F5" w:rsidRDefault="00C63F17" w:rsidP="008911DA">
            <w:pPr>
              <w:jc w:val="center"/>
              <w:cnfStyle w:val="000000000000"/>
              <w:rPr>
                <w:sz w:val="20"/>
                <w:szCs w:val="20"/>
              </w:rPr>
            </w:pPr>
            <w:proofErr w:type="spellStart"/>
            <w:r w:rsidRPr="00C338F5">
              <w:rPr>
                <w:sz w:val="20"/>
                <w:szCs w:val="20"/>
              </w:rPr>
              <w:t>Écoute</w:t>
            </w:r>
            <w:proofErr w:type="spellEnd"/>
            <w:r w:rsidRPr="00C338F5">
              <w:rPr>
                <w:sz w:val="20"/>
                <w:szCs w:val="20"/>
              </w:rPr>
              <w:t xml:space="preserve"> des questions ; </w:t>
            </w:r>
            <w:proofErr w:type="spellStart"/>
            <w:r w:rsidRPr="00C338F5">
              <w:rPr>
                <w:sz w:val="20"/>
                <w:szCs w:val="20"/>
              </w:rPr>
              <w:t>réflexion</w:t>
            </w:r>
            <w:proofErr w:type="spellEnd"/>
            <w:r w:rsidRPr="00C338F5">
              <w:rPr>
                <w:sz w:val="20"/>
                <w:szCs w:val="20"/>
              </w:rPr>
              <w:t xml:space="preserve"> ; </w:t>
            </w:r>
            <w:proofErr w:type="spellStart"/>
            <w:r w:rsidRPr="00C338F5">
              <w:rPr>
                <w:sz w:val="20"/>
                <w:szCs w:val="20"/>
              </w:rPr>
              <w:t>à-propos</w:t>
            </w:r>
            <w:proofErr w:type="spellEnd"/>
            <w:r w:rsidRPr="00C338F5">
              <w:rPr>
                <w:sz w:val="20"/>
                <w:szCs w:val="20"/>
              </w:rPr>
              <w:t xml:space="preserve"> ; parole qui s’</w:t>
            </w:r>
            <w:proofErr w:type="spellStart"/>
            <w:r w:rsidRPr="00C338F5">
              <w:rPr>
                <w:sz w:val="20"/>
                <w:szCs w:val="20"/>
              </w:rPr>
              <w:t>élabore</w:t>
            </w:r>
            <w:proofErr w:type="spellEnd"/>
            <w:r w:rsidRPr="00C338F5">
              <w:rPr>
                <w:sz w:val="20"/>
                <w:szCs w:val="20"/>
              </w:rPr>
              <w:t xml:space="preserve"> au moment </w:t>
            </w:r>
            <w:proofErr w:type="spellStart"/>
            <w:r w:rsidRPr="00C338F5">
              <w:rPr>
                <w:sz w:val="20"/>
                <w:szCs w:val="20"/>
              </w:rPr>
              <w:t>où</w:t>
            </w:r>
            <w:proofErr w:type="spellEnd"/>
            <w:r w:rsidRPr="00C338F5">
              <w:rPr>
                <w:sz w:val="20"/>
                <w:szCs w:val="20"/>
              </w:rPr>
              <w:t xml:space="preserve"> elle se dit. </w:t>
            </w:r>
          </w:p>
          <w:p w:rsidR="00C63F17" w:rsidRDefault="00C63F17" w:rsidP="008911DA">
            <w:pPr>
              <w:jc w:val="center"/>
              <w:cnfStyle w:val="000000000000"/>
              <w:rPr>
                <w:sz w:val="20"/>
                <w:szCs w:val="20"/>
              </w:rPr>
            </w:pPr>
          </w:p>
        </w:tc>
        <w:tc>
          <w:tcPr>
            <w:tcW w:w="2283" w:type="dxa"/>
          </w:tcPr>
          <w:p w:rsidR="00C63F17" w:rsidRPr="00C338F5" w:rsidRDefault="00C63F17" w:rsidP="008911DA">
            <w:pPr>
              <w:jc w:val="center"/>
              <w:cnfStyle w:val="000000000000"/>
              <w:rPr>
                <w:sz w:val="20"/>
                <w:szCs w:val="20"/>
              </w:rPr>
            </w:pPr>
            <w:proofErr w:type="spellStart"/>
            <w:r w:rsidRPr="00C338F5">
              <w:rPr>
                <w:sz w:val="20"/>
                <w:szCs w:val="20"/>
              </w:rPr>
              <w:t>Capacité</w:t>
            </w:r>
            <w:proofErr w:type="spellEnd"/>
            <w:r w:rsidRPr="00C338F5">
              <w:rPr>
                <w:sz w:val="20"/>
                <w:szCs w:val="20"/>
              </w:rPr>
              <w:t xml:space="preserve"> d’adaptation ; appropriation des conseils ; tempo juste ; </w:t>
            </w:r>
            <w:proofErr w:type="spellStart"/>
            <w:r w:rsidRPr="00C338F5">
              <w:rPr>
                <w:sz w:val="20"/>
                <w:szCs w:val="20"/>
              </w:rPr>
              <w:t>capacité</w:t>
            </w:r>
            <w:proofErr w:type="spellEnd"/>
            <w:r w:rsidRPr="00C338F5">
              <w:rPr>
                <w:sz w:val="20"/>
                <w:szCs w:val="20"/>
              </w:rPr>
              <w:t xml:space="preserve"> </w:t>
            </w:r>
            <w:proofErr w:type="spellStart"/>
            <w:r w:rsidRPr="00C338F5">
              <w:rPr>
                <w:sz w:val="20"/>
                <w:szCs w:val="20"/>
              </w:rPr>
              <w:t>à</w:t>
            </w:r>
            <w:proofErr w:type="spellEnd"/>
            <w:r w:rsidRPr="00C338F5">
              <w:rPr>
                <w:sz w:val="20"/>
                <w:szCs w:val="20"/>
              </w:rPr>
              <w:t xml:space="preserve"> </w:t>
            </w:r>
            <w:proofErr w:type="spellStart"/>
            <w:r w:rsidRPr="00C338F5">
              <w:rPr>
                <w:sz w:val="20"/>
                <w:szCs w:val="20"/>
              </w:rPr>
              <w:t>établir</w:t>
            </w:r>
            <w:proofErr w:type="spellEnd"/>
            <w:r w:rsidRPr="00C338F5">
              <w:rPr>
                <w:sz w:val="20"/>
                <w:szCs w:val="20"/>
              </w:rPr>
              <w:t xml:space="preserve"> des connexions. </w:t>
            </w:r>
          </w:p>
          <w:p w:rsidR="00C63F17" w:rsidRDefault="00C63F17" w:rsidP="008911DA">
            <w:pPr>
              <w:jc w:val="center"/>
              <w:cnfStyle w:val="000000000000"/>
              <w:rPr>
                <w:sz w:val="20"/>
                <w:szCs w:val="20"/>
              </w:rPr>
            </w:pPr>
          </w:p>
        </w:tc>
      </w:tr>
    </w:tbl>
    <w:p w:rsidR="00C63F17" w:rsidRPr="00C17D51" w:rsidRDefault="00C63F17" w:rsidP="00C63F17">
      <w:pPr>
        <w:rPr>
          <w:rFonts w:ascii="Arial" w:hAnsi="Arial" w:cs="Arial"/>
          <w:color w:val="4472C4" w:themeColor="accent1"/>
        </w:rPr>
      </w:pPr>
    </w:p>
    <w:p w:rsidR="000B747C" w:rsidRDefault="009758C0" w:rsidP="009758C0">
      <w:pPr>
        <w:jc w:val="both"/>
        <w:rPr>
          <w:rFonts w:ascii="Arial" w:hAnsi="Arial" w:cs="Arial"/>
        </w:rPr>
      </w:pPr>
      <w:r w:rsidRPr="00C17D51">
        <w:rPr>
          <w:rFonts w:ascii="Arial" w:hAnsi="Arial" w:cs="Arial"/>
          <w:b/>
          <w:bCs/>
          <w:color w:val="4472C4" w:themeColor="accent1"/>
        </w:rPr>
        <w:t>S’engager et convaincre</w:t>
      </w:r>
      <w:r w:rsidRPr="00C17D51">
        <w:rPr>
          <w:rFonts w:ascii="Arial" w:hAnsi="Arial" w:cs="Arial"/>
          <w:color w:val="4472C4" w:themeColor="accent1"/>
        </w:rPr>
        <w:t xml:space="preserve"> : </w:t>
      </w:r>
      <w:r>
        <w:rPr>
          <w:rFonts w:ascii="Arial" w:hAnsi="Arial" w:cs="Arial"/>
        </w:rPr>
        <w:t>cette première partie de 5 minutes est celle pour laquelle le plus grand nombre de points est attribué (10 points)</w:t>
      </w:r>
      <w:r w:rsidR="00CF381D">
        <w:rPr>
          <w:rStyle w:val="Marquenotebasdepage"/>
          <w:rFonts w:ascii="Arial" w:hAnsi="Arial" w:cs="Arial"/>
        </w:rPr>
        <w:footnoteReference w:id="5"/>
      </w:r>
      <w:r>
        <w:rPr>
          <w:rFonts w:ascii="Arial" w:hAnsi="Arial" w:cs="Arial"/>
        </w:rPr>
        <w:t>. Elle permet d’attester de la part du candidat un engagement à l’encontre d’une standardisation du parcours de formation, une appropriation de la question traitée sans attendu spécifique de la part du jury, une analyse approfondie présentée avec un esprit de synthèse.</w:t>
      </w:r>
    </w:p>
    <w:p w:rsidR="009758C0" w:rsidRDefault="009758C0" w:rsidP="009758C0">
      <w:pPr>
        <w:jc w:val="both"/>
        <w:rPr>
          <w:rFonts w:ascii="Arial" w:hAnsi="Arial" w:cs="Arial"/>
        </w:rPr>
      </w:pPr>
    </w:p>
    <w:tbl>
      <w:tblPr>
        <w:tblW w:w="92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80"/>
      </w:tblGrid>
      <w:tr w:rsidR="002C1BF4">
        <w:trPr>
          <w:trHeight w:val="887"/>
        </w:trPr>
        <w:tc>
          <w:tcPr>
            <w:tcW w:w="9280" w:type="dxa"/>
            <w:shd w:val="clear" w:color="auto" w:fill="D9E2F3" w:themeFill="accent1" w:themeFillTint="33"/>
          </w:tcPr>
          <w:p w:rsidR="002C1BF4" w:rsidRPr="002C1BF4" w:rsidRDefault="002C1BF4" w:rsidP="002C1BF4">
            <w:pPr>
              <w:ind w:left="110"/>
              <w:jc w:val="both"/>
              <w:rPr>
                <w:rFonts w:ascii="Arial" w:hAnsi="Arial" w:cs="Arial"/>
                <w:i/>
                <w:iCs/>
              </w:rPr>
            </w:pPr>
            <w:r w:rsidRPr="002C1BF4">
              <w:rPr>
                <w:rFonts w:ascii="Arial" w:hAnsi="Arial" w:cs="Arial"/>
                <w:i/>
                <w:iCs/>
              </w:rPr>
              <w:t>Extrait du programme de la Classe de Première, enseignement de spécialité</w:t>
            </w:r>
          </w:p>
          <w:p w:rsidR="002C1BF4" w:rsidRPr="002C1BF4" w:rsidRDefault="002C1BF4" w:rsidP="002C1BF4">
            <w:pPr>
              <w:ind w:left="110"/>
              <w:jc w:val="both"/>
              <w:rPr>
                <w:rFonts w:ascii="Arial" w:hAnsi="Arial" w:cs="Arial"/>
                <w:i/>
                <w:iCs/>
              </w:rPr>
            </w:pPr>
          </w:p>
          <w:p w:rsidR="002C1BF4" w:rsidRDefault="002C1BF4" w:rsidP="002C1BF4">
            <w:pPr>
              <w:ind w:left="110"/>
              <w:jc w:val="both"/>
              <w:rPr>
                <w:rFonts w:ascii="Arial" w:hAnsi="Arial" w:cs="Arial"/>
                <w:i/>
                <w:iCs/>
              </w:rPr>
            </w:pPr>
            <w:r w:rsidRPr="002C1BF4">
              <w:rPr>
                <w:rFonts w:ascii="Arial" w:hAnsi="Arial" w:cs="Arial"/>
                <w:i/>
                <w:iCs/>
              </w:rPr>
              <w:t>Faire preuve d’autonomie, d’initiative, de responsabilité, d’engagement et d’esprit critique dans la conduite d’un projet artistique</w:t>
            </w:r>
            <w:r w:rsidR="00B81419">
              <w:rPr>
                <w:rStyle w:val="Marquenotebasdepage"/>
                <w:rFonts w:ascii="Arial" w:hAnsi="Arial" w:cs="Arial"/>
                <w:i/>
                <w:iCs/>
              </w:rPr>
              <w:footnoteReference w:id="6"/>
            </w:r>
          </w:p>
        </w:tc>
      </w:tr>
    </w:tbl>
    <w:p w:rsidR="002C1BF4" w:rsidRDefault="002C1BF4" w:rsidP="009758C0">
      <w:pPr>
        <w:jc w:val="both"/>
        <w:rPr>
          <w:rFonts w:ascii="Arial" w:hAnsi="Arial" w:cs="Arial"/>
        </w:rPr>
      </w:pPr>
    </w:p>
    <w:p w:rsidR="00B81419" w:rsidRDefault="002C1BF4" w:rsidP="009758C0">
      <w:pPr>
        <w:jc w:val="both"/>
        <w:rPr>
          <w:rFonts w:ascii="Arial" w:hAnsi="Arial" w:cs="Arial"/>
        </w:rPr>
      </w:pPr>
      <w:r>
        <w:rPr>
          <w:rFonts w:ascii="Arial" w:hAnsi="Arial" w:cs="Arial"/>
        </w:rPr>
        <w:t xml:space="preserve">Cette compétence innerve l’ensemble des programmes d’arts plastiques, présente dans le champ de la compétence « Mettre en œuvre un projet artistique individuel ou collectif », elle fait écho à celle du champ « Expérimenter, produire, créer » : </w:t>
      </w:r>
    </w:p>
    <w:p w:rsidR="002C1BF4" w:rsidRDefault="00B81419" w:rsidP="009758C0">
      <w:pPr>
        <w:jc w:val="both"/>
        <w:rPr>
          <w:rFonts w:ascii="Arial" w:hAnsi="Arial" w:cs="Arial"/>
        </w:rPr>
      </w:pPr>
      <w:r w:rsidRPr="00B81419">
        <w:rPr>
          <w:rFonts w:ascii="Arial" w:hAnsi="Arial" w:cs="Arial"/>
        </w:rPr>
        <w:t>-</w:t>
      </w:r>
      <w:r>
        <w:rPr>
          <w:rFonts w:ascii="Arial" w:hAnsi="Arial" w:cs="Arial"/>
          <w:i/>
          <w:iCs/>
        </w:rPr>
        <w:t>s</w:t>
      </w:r>
      <w:r w:rsidR="002C1BF4" w:rsidRPr="00B81419">
        <w:rPr>
          <w:rFonts w:ascii="Arial" w:hAnsi="Arial" w:cs="Arial"/>
          <w:i/>
          <w:iCs/>
        </w:rPr>
        <w:t>’approprier des questions artistiques en prenant appui sur une pratique</w:t>
      </w:r>
      <w:r>
        <w:rPr>
          <w:rStyle w:val="Marquenotebasdepage"/>
          <w:rFonts w:ascii="Arial" w:hAnsi="Arial" w:cs="Arial"/>
          <w:i/>
          <w:iCs/>
        </w:rPr>
        <w:footnoteReference w:id="7"/>
      </w:r>
      <w:r w:rsidR="002C1BF4">
        <w:rPr>
          <w:rFonts w:ascii="Arial" w:hAnsi="Arial" w:cs="Arial"/>
        </w:rPr>
        <w:t xml:space="preserve">. </w:t>
      </w:r>
    </w:p>
    <w:p w:rsidR="002C1BF4" w:rsidRDefault="002C1BF4" w:rsidP="009758C0">
      <w:pPr>
        <w:jc w:val="both"/>
        <w:rPr>
          <w:rFonts w:ascii="Arial" w:hAnsi="Arial" w:cs="Arial"/>
        </w:rPr>
      </w:pPr>
      <w:r>
        <w:rPr>
          <w:rFonts w:ascii="Arial" w:hAnsi="Arial" w:cs="Arial"/>
        </w:rPr>
        <w:t>Les enjeux et objectifs des apprentissages de l’enseignement de spécialité rejoignent l’épreuve du Grand Oral lorsqu’il s’agit de conforter :</w:t>
      </w:r>
    </w:p>
    <w:p w:rsidR="00483D53" w:rsidRDefault="00483D53" w:rsidP="009758C0">
      <w:pPr>
        <w:jc w:val="both"/>
        <w:rPr>
          <w:rFonts w:ascii="Arial" w:hAnsi="Arial" w:cs="Arial"/>
        </w:rPr>
      </w:pP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93"/>
      </w:tblGrid>
      <w:tr w:rsidR="00483D53">
        <w:trPr>
          <w:trHeight w:val="720"/>
        </w:trPr>
        <w:tc>
          <w:tcPr>
            <w:tcW w:w="9293" w:type="dxa"/>
            <w:shd w:val="clear" w:color="auto" w:fill="D9E2F3" w:themeFill="accent1" w:themeFillTint="33"/>
          </w:tcPr>
          <w:p w:rsidR="00483D53" w:rsidRDefault="00483D53" w:rsidP="00483D53">
            <w:pPr>
              <w:ind w:left="110"/>
              <w:jc w:val="both"/>
              <w:rPr>
                <w:rFonts w:ascii="Arial" w:hAnsi="Arial" w:cs="Arial"/>
                <w:i/>
                <w:iCs/>
              </w:rPr>
            </w:pPr>
            <w:r>
              <w:rPr>
                <w:rFonts w:ascii="Arial" w:hAnsi="Arial" w:cs="Arial"/>
                <w:i/>
                <w:iCs/>
              </w:rPr>
              <w:t>-l’engagement d’une réflexion sur le statut de la pratique et de la technique dans l’expression artistique ;</w:t>
            </w:r>
          </w:p>
        </w:tc>
      </w:tr>
    </w:tbl>
    <w:p w:rsidR="00483D53" w:rsidRDefault="00483D53" w:rsidP="009758C0">
      <w:pPr>
        <w:jc w:val="both"/>
        <w:rPr>
          <w:rFonts w:ascii="Arial" w:hAnsi="Arial" w:cs="Arial"/>
        </w:rPr>
      </w:pPr>
    </w:p>
    <w:p w:rsidR="00B81419" w:rsidRDefault="00B81419" w:rsidP="009758C0">
      <w:pPr>
        <w:jc w:val="both"/>
        <w:rPr>
          <w:rFonts w:ascii="Arial" w:hAnsi="Arial" w:cs="Arial"/>
        </w:rPr>
      </w:pPr>
      <w:proofErr w:type="gramStart"/>
      <w:r>
        <w:rPr>
          <w:rFonts w:ascii="Arial" w:hAnsi="Arial" w:cs="Arial"/>
        </w:rPr>
        <w:t>et</w:t>
      </w:r>
      <w:proofErr w:type="gramEnd"/>
      <w:r>
        <w:rPr>
          <w:rFonts w:ascii="Arial" w:hAnsi="Arial" w:cs="Arial"/>
        </w:rPr>
        <w:t xml:space="preserve"> lorsqu’il s’agit d’approfondir :</w:t>
      </w:r>
    </w:p>
    <w:p w:rsidR="00483D53" w:rsidRDefault="00483D53" w:rsidP="009758C0">
      <w:pPr>
        <w:jc w:val="both"/>
        <w:rPr>
          <w:rFonts w:ascii="Arial" w:hAnsi="Arial" w:cs="Arial"/>
        </w:rPr>
      </w:pPr>
    </w:p>
    <w:tbl>
      <w:tblPr>
        <w:tblW w:w="92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7"/>
      </w:tblGrid>
      <w:tr w:rsidR="00483D53">
        <w:trPr>
          <w:trHeight w:val="693"/>
        </w:trPr>
        <w:tc>
          <w:tcPr>
            <w:tcW w:w="9227" w:type="dxa"/>
            <w:shd w:val="clear" w:color="auto" w:fill="D9E2F3" w:themeFill="accent1" w:themeFillTint="33"/>
          </w:tcPr>
          <w:p w:rsidR="00483D53" w:rsidRDefault="00483D53" w:rsidP="00483D53">
            <w:pPr>
              <w:ind w:left="57"/>
              <w:jc w:val="both"/>
              <w:rPr>
                <w:rFonts w:ascii="Arial" w:hAnsi="Arial" w:cs="Arial"/>
                <w:i/>
                <w:iCs/>
              </w:rPr>
            </w:pPr>
            <w:r>
              <w:rPr>
                <w:rFonts w:ascii="Arial" w:hAnsi="Arial" w:cs="Arial"/>
                <w:i/>
                <w:iCs/>
              </w:rPr>
              <w:t>-l’interrogation sur les conditions et les enjeux de la création artistique dans des contextes historiques et culturels précis</w:t>
            </w:r>
            <w:r>
              <w:rPr>
                <w:rStyle w:val="Marquenotebasdepage"/>
                <w:rFonts w:ascii="Arial" w:hAnsi="Arial" w:cs="Arial"/>
                <w:i/>
                <w:iCs/>
              </w:rPr>
              <w:footnoteReference w:id="8"/>
            </w:r>
            <w:r>
              <w:rPr>
                <w:rFonts w:ascii="Arial" w:hAnsi="Arial" w:cs="Arial"/>
                <w:i/>
                <w:iCs/>
              </w:rPr>
              <w:t>.</w:t>
            </w:r>
          </w:p>
        </w:tc>
      </w:tr>
    </w:tbl>
    <w:p w:rsidR="00B81419" w:rsidRDefault="00B81419" w:rsidP="00483D53">
      <w:pPr>
        <w:rPr>
          <w:rFonts w:ascii="Arial" w:hAnsi="Arial" w:cs="Arial"/>
          <w:i/>
          <w:iCs/>
        </w:rPr>
      </w:pPr>
    </w:p>
    <w:p w:rsidR="00AE1CC9" w:rsidRPr="00C17D51" w:rsidRDefault="00AE1CC9" w:rsidP="00483D53">
      <w:pPr>
        <w:rPr>
          <w:rFonts w:ascii="Arial" w:hAnsi="Arial" w:cs="Arial"/>
          <w:b/>
          <w:bCs/>
          <w:color w:val="4472C4" w:themeColor="accent1"/>
        </w:rPr>
      </w:pPr>
      <w:r w:rsidRPr="00C17D51">
        <w:rPr>
          <w:rFonts w:ascii="Arial" w:hAnsi="Arial" w:cs="Arial"/>
          <w:b/>
          <w:bCs/>
          <w:color w:val="4472C4" w:themeColor="accent1"/>
        </w:rPr>
        <w:t>Dialoguer avec le jury</w:t>
      </w:r>
    </w:p>
    <w:p w:rsidR="00AE1CC9" w:rsidRDefault="00AE1CC9" w:rsidP="00AE1CC9">
      <w:pPr>
        <w:rPr>
          <w:rFonts w:ascii="Arial" w:hAnsi="Arial" w:cs="Arial"/>
          <w:b/>
          <w:bCs/>
        </w:rPr>
      </w:pPr>
    </w:p>
    <w:p w:rsidR="00AE1CC9" w:rsidRDefault="00AE1CC9" w:rsidP="00AE1CC9">
      <w:pPr>
        <w:jc w:val="both"/>
        <w:rPr>
          <w:rFonts w:ascii="Arial" w:hAnsi="Arial" w:cs="Arial"/>
        </w:rPr>
      </w:pPr>
      <w:r>
        <w:rPr>
          <w:rFonts w:ascii="Arial" w:hAnsi="Arial" w:cs="Arial"/>
        </w:rPr>
        <w:t xml:space="preserve">Cette dimension de l’oral, parfois encore implicite au niveau du collège, est déployée au lycée grâce à la compétence travaillée « Exposer l’œuvre, la démarche, la pratique ». Du </w:t>
      </w:r>
      <w:r>
        <w:rPr>
          <w:rFonts w:ascii="Arial" w:hAnsi="Arial" w:cs="Arial"/>
          <w:i/>
          <w:iCs/>
        </w:rPr>
        <w:t>Dire et partager sa démarche et sa pratique, écouter et accepter les avis divers et contradictoires</w:t>
      </w:r>
      <w:r>
        <w:rPr>
          <w:rStyle w:val="Marquenotebasdepage"/>
          <w:rFonts w:ascii="Arial" w:hAnsi="Arial" w:cs="Arial"/>
          <w:i/>
          <w:iCs/>
        </w:rPr>
        <w:footnoteReference w:id="9"/>
      </w:r>
      <w:r>
        <w:rPr>
          <w:rFonts w:ascii="Arial" w:hAnsi="Arial" w:cs="Arial"/>
        </w:rPr>
        <w:t xml:space="preserve">, l’oral est ensuite travaillé pour </w:t>
      </w:r>
      <w:r>
        <w:rPr>
          <w:rFonts w:ascii="Arial" w:hAnsi="Arial" w:cs="Arial"/>
          <w:i/>
          <w:iCs/>
        </w:rPr>
        <w:t>stimuler l’initiative et l’audace, le potentiel d’invention et la créativité, l’autonomie et la responsabilité, la prise de recul et le regard critique</w:t>
      </w:r>
      <w:r>
        <w:rPr>
          <w:rStyle w:val="Marquenotebasdepage"/>
          <w:rFonts w:ascii="Arial" w:hAnsi="Arial" w:cs="Arial"/>
          <w:i/>
          <w:iCs/>
        </w:rPr>
        <w:footnoteReference w:id="10"/>
      </w:r>
      <w:r w:rsidR="00F7247A">
        <w:rPr>
          <w:rFonts w:ascii="Arial" w:hAnsi="Arial" w:cs="Arial"/>
        </w:rPr>
        <w:t>. C’est bien la diversité des approches pédagogiques qui favorise la mobilité intellectuelle des élèves et leur assure progressivement une aisance argumentative propice à leur réussite certificative.</w:t>
      </w:r>
    </w:p>
    <w:p w:rsidR="00F7247A" w:rsidRDefault="00F7247A" w:rsidP="00AE1CC9">
      <w:pPr>
        <w:jc w:val="both"/>
        <w:rPr>
          <w:rFonts w:ascii="Arial" w:hAnsi="Arial" w:cs="Arial"/>
        </w:rPr>
      </w:pPr>
    </w:p>
    <w:tbl>
      <w:tblPr>
        <w:tblW w:w="922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27"/>
      </w:tblGrid>
      <w:tr w:rsidR="00F7247A">
        <w:trPr>
          <w:trHeight w:val="1747"/>
        </w:trPr>
        <w:tc>
          <w:tcPr>
            <w:tcW w:w="9227" w:type="dxa"/>
            <w:shd w:val="clear" w:color="auto" w:fill="D9E2F3" w:themeFill="accent1" w:themeFillTint="33"/>
          </w:tcPr>
          <w:p w:rsidR="00F7247A" w:rsidRDefault="00F7247A" w:rsidP="00F7247A">
            <w:pPr>
              <w:ind w:left="97"/>
              <w:jc w:val="both"/>
              <w:rPr>
                <w:rFonts w:ascii="Arial" w:hAnsi="Arial" w:cs="Arial"/>
                <w:i/>
                <w:iCs/>
              </w:rPr>
            </w:pPr>
            <w:r>
              <w:rPr>
                <w:rFonts w:ascii="Arial" w:hAnsi="Arial" w:cs="Arial"/>
                <w:i/>
                <w:iCs/>
              </w:rPr>
              <w:t>Au niveau de la classe de première, les approches réflexives, théoriques et culturelles privilégient l’oral dans ses diverses dimensions (structuration, fluidité, précision du vocabulaire spécifique, argumentation…). Des débats collectifs sont régulièrement suscités. Ils amènent les élèves à fonder et à formuler leurs perceptions et leurs analyses, à expliciter leur compréhension des œuvres et des phénomènes artistiques, à exercer et à développer leur sens critique</w:t>
            </w:r>
            <w:r>
              <w:rPr>
                <w:rStyle w:val="Marquenotebasdepage"/>
                <w:rFonts w:ascii="Arial" w:hAnsi="Arial" w:cs="Arial"/>
                <w:i/>
                <w:iCs/>
              </w:rPr>
              <w:footnoteReference w:id="11"/>
            </w:r>
          </w:p>
        </w:tc>
      </w:tr>
    </w:tbl>
    <w:p w:rsidR="00F7247A" w:rsidRDefault="00F7247A" w:rsidP="00F7247A">
      <w:pPr>
        <w:rPr>
          <w:rFonts w:ascii="Arial" w:hAnsi="Arial" w:cs="Arial"/>
          <w:i/>
          <w:iCs/>
        </w:rPr>
      </w:pPr>
    </w:p>
    <w:p w:rsidR="00486D42" w:rsidRDefault="00486D42" w:rsidP="00F7247A">
      <w:pPr>
        <w:rPr>
          <w:rFonts w:ascii="Arial" w:hAnsi="Arial" w:cs="Arial"/>
        </w:rPr>
      </w:pPr>
    </w:p>
    <w:tbl>
      <w:tblPr>
        <w:tblW w:w="9253"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3"/>
      </w:tblGrid>
      <w:tr w:rsidR="00486D42">
        <w:trPr>
          <w:trHeight w:val="1840"/>
        </w:trPr>
        <w:tc>
          <w:tcPr>
            <w:tcW w:w="9253" w:type="dxa"/>
          </w:tcPr>
          <w:p w:rsidR="00486D42" w:rsidRDefault="00486D42" w:rsidP="00486D42">
            <w:pPr>
              <w:ind w:left="124"/>
              <w:rPr>
                <w:rFonts w:ascii="Helvetica" w:eastAsia="Times New Roman" w:hAnsi="Helvetica" w:cs="Times New Roman"/>
              </w:rPr>
            </w:pPr>
            <w:r w:rsidRPr="00521F20">
              <w:rPr>
                <w:rFonts w:ascii="Helvetica" w:eastAsia="Times New Roman" w:hAnsi="Helvetica" w:cs="Times New Roman"/>
              </w:rPr>
              <w:t xml:space="preserve">S’il interroge sur les contenus qui peuvent porter sur toute question du programme en lien avec le sujet, ce ne peut </w:t>
            </w:r>
            <w:proofErr w:type="spellStart"/>
            <w:r w:rsidRPr="00521F20">
              <w:rPr>
                <w:rFonts w:ascii="Helvetica" w:eastAsia="Times New Roman" w:hAnsi="Helvetica" w:cs="Times New Roman"/>
              </w:rPr>
              <w:t>être</w:t>
            </w:r>
            <w:proofErr w:type="spellEnd"/>
            <w:r w:rsidRPr="00521F20">
              <w:rPr>
                <w:rFonts w:ascii="Helvetica" w:eastAsia="Times New Roman" w:hAnsi="Helvetica" w:cs="Times New Roman"/>
              </w:rPr>
              <w:t xml:space="preserve"> l’objet principal de la phase d’entretien. Au cours du dialogue, le candidat montre sa </w:t>
            </w:r>
            <w:proofErr w:type="spellStart"/>
            <w:r w:rsidRPr="00521F20">
              <w:rPr>
                <w:rFonts w:ascii="Helvetica" w:eastAsia="Times New Roman" w:hAnsi="Helvetica" w:cs="Times New Roman"/>
              </w:rPr>
              <w:t>capacité</w:t>
            </w:r>
            <w:proofErr w:type="spellEnd"/>
            <w:r w:rsidRPr="00521F20">
              <w:rPr>
                <w:rFonts w:ascii="Helvetica" w:eastAsia="Times New Roman" w:hAnsi="Helvetica" w:cs="Times New Roman"/>
              </w:rPr>
              <w:t xml:space="preserve"> </w:t>
            </w:r>
            <w:proofErr w:type="spellStart"/>
            <w:r w:rsidRPr="00521F20">
              <w:rPr>
                <w:rFonts w:ascii="Helvetica" w:eastAsia="Times New Roman" w:hAnsi="Helvetica" w:cs="Times New Roman"/>
              </w:rPr>
              <w:t>à</w:t>
            </w:r>
            <w:proofErr w:type="spellEnd"/>
            <w:r w:rsidRPr="00521F20">
              <w:rPr>
                <w:rFonts w:ascii="Helvetica" w:eastAsia="Times New Roman" w:hAnsi="Helvetica" w:cs="Times New Roman"/>
              </w:rPr>
              <w:t xml:space="preserve"> conduire et exprimer une </w:t>
            </w:r>
            <w:proofErr w:type="spellStart"/>
            <w:r w:rsidRPr="00521F20">
              <w:rPr>
                <w:rFonts w:ascii="Helvetica" w:eastAsia="Times New Roman" w:hAnsi="Helvetica" w:cs="Times New Roman"/>
              </w:rPr>
              <w:t>réflexion</w:t>
            </w:r>
            <w:proofErr w:type="spellEnd"/>
            <w:r w:rsidRPr="00521F20">
              <w:rPr>
                <w:rFonts w:ascii="Helvetica" w:eastAsia="Times New Roman" w:hAnsi="Helvetica" w:cs="Times New Roman"/>
              </w:rPr>
              <w:t xml:space="preserve"> personnelle s’appuyant sur sa </w:t>
            </w:r>
            <w:proofErr w:type="spellStart"/>
            <w:r w:rsidRPr="00521F20">
              <w:rPr>
                <w:rFonts w:ascii="Helvetica" w:eastAsia="Times New Roman" w:hAnsi="Helvetica" w:cs="Times New Roman"/>
              </w:rPr>
              <w:t>curiosité</w:t>
            </w:r>
            <w:proofErr w:type="spellEnd"/>
            <w:r w:rsidRPr="00521F20">
              <w:rPr>
                <w:rFonts w:ascii="Helvetica" w:eastAsia="Times New Roman" w:hAnsi="Helvetica" w:cs="Times New Roman"/>
              </w:rPr>
              <w:t xml:space="preserve"> intellectuelle, l’</w:t>
            </w:r>
            <w:proofErr w:type="spellStart"/>
            <w:r w:rsidRPr="00521F20">
              <w:rPr>
                <w:rFonts w:ascii="Helvetica" w:eastAsia="Times New Roman" w:hAnsi="Helvetica" w:cs="Times New Roman"/>
              </w:rPr>
              <w:t>expérience</w:t>
            </w:r>
            <w:proofErr w:type="spellEnd"/>
            <w:r w:rsidRPr="00521F20">
              <w:rPr>
                <w:rFonts w:ascii="Helvetica" w:eastAsia="Times New Roman" w:hAnsi="Helvetica" w:cs="Times New Roman"/>
              </w:rPr>
              <w:t xml:space="preserve"> et les connaissances, l’exactitude des termes </w:t>
            </w:r>
            <w:proofErr w:type="spellStart"/>
            <w:r w:rsidRPr="00521F20">
              <w:rPr>
                <w:rFonts w:ascii="Helvetica" w:eastAsia="Times New Roman" w:hAnsi="Helvetica" w:cs="Times New Roman"/>
              </w:rPr>
              <w:t>employés</w:t>
            </w:r>
            <w:proofErr w:type="spellEnd"/>
            <w:r w:rsidRPr="00521F20">
              <w:rPr>
                <w:rFonts w:ascii="Helvetica" w:eastAsia="Times New Roman" w:hAnsi="Helvetica" w:cs="Times New Roman"/>
              </w:rPr>
              <w:t xml:space="preserve">, des </w:t>
            </w:r>
            <w:proofErr w:type="spellStart"/>
            <w:r w:rsidRPr="00521F20">
              <w:rPr>
                <w:rFonts w:ascii="Helvetica" w:eastAsia="Times New Roman" w:hAnsi="Helvetica" w:cs="Times New Roman"/>
              </w:rPr>
              <w:t>idées</w:t>
            </w:r>
            <w:proofErr w:type="spellEnd"/>
            <w:r w:rsidRPr="00521F20">
              <w:rPr>
                <w:rFonts w:ascii="Helvetica" w:eastAsia="Times New Roman" w:hAnsi="Helvetica" w:cs="Times New Roman"/>
              </w:rPr>
              <w:t xml:space="preserve"> </w:t>
            </w:r>
            <w:proofErr w:type="spellStart"/>
            <w:r w:rsidRPr="00521F20">
              <w:rPr>
                <w:rFonts w:ascii="Helvetica" w:eastAsia="Times New Roman" w:hAnsi="Helvetica" w:cs="Times New Roman"/>
              </w:rPr>
              <w:t>précises</w:t>
            </w:r>
            <w:proofErr w:type="spellEnd"/>
            <w:r w:rsidRPr="00521F20">
              <w:rPr>
                <w:rFonts w:ascii="Helvetica" w:eastAsia="Times New Roman" w:hAnsi="Helvetica" w:cs="Times New Roman"/>
              </w:rPr>
              <w:t xml:space="preserve">, des savoirs rigoureusement mis en œuvre et </w:t>
            </w:r>
            <w:proofErr w:type="spellStart"/>
            <w:r w:rsidRPr="00521F20">
              <w:rPr>
                <w:rFonts w:ascii="Helvetica" w:eastAsia="Times New Roman" w:hAnsi="Helvetica" w:cs="Times New Roman"/>
              </w:rPr>
              <w:t>analysés</w:t>
            </w:r>
            <w:proofErr w:type="spellEnd"/>
            <w:r>
              <w:rPr>
                <w:rStyle w:val="Marquenotebasdepage"/>
                <w:rFonts w:ascii="Helvetica" w:eastAsia="Times New Roman" w:hAnsi="Helvetica" w:cs="Times New Roman"/>
              </w:rPr>
              <w:footnoteReference w:id="12"/>
            </w:r>
            <w:r w:rsidRPr="00521F20">
              <w:rPr>
                <w:rFonts w:ascii="Helvetica" w:eastAsia="Times New Roman" w:hAnsi="Helvetica" w:cs="Times New Roman"/>
              </w:rPr>
              <w:t>.</w:t>
            </w:r>
          </w:p>
        </w:tc>
      </w:tr>
    </w:tbl>
    <w:p w:rsidR="0082545E" w:rsidRDefault="0082545E" w:rsidP="00486D42">
      <w:pPr>
        <w:rPr>
          <w:rFonts w:ascii="Arial" w:hAnsi="Arial" w:cs="Arial"/>
        </w:rPr>
      </w:pPr>
    </w:p>
    <w:p w:rsidR="00C17D51" w:rsidRDefault="0082545E" w:rsidP="00C17D51">
      <w:pPr>
        <w:jc w:val="both"/>
        <w:rPr>
          <w:rFonts w:ascii="Arial" w:hAnsi="Arial" w:cs="Arial"/>
        </w:rPr>
      </w:pPr>
      <w:r>
        <w:rPr>
          <w:rFonts w:ascii="Arial" w:hAnsi="Arial" w:cs="Arial"/>
        </w:rPr>
        <w:t>Cette deuxième partie de l’épreuve est conditionnée par la posture du jury</w:t>
      </w:r>
      <w:r w:rsidR="00D03F66">
        <w:rPr>
          <w:rFonts w:ascii="Arial" w:hAnsi="Arial" w:cs="Arial"/>
        </w:rPr>
        <w:t>.</w:t>
      </w:r>
      <w:r w:rsidR="00C17D51">
        <w:rPr>
          <w:rFonts w:ascii="Arial" w:hAnsi="Arial" w:cs="Arial"/>
        </w:rPr>
        <w:t xml:space="preserve"> En effet, </w:t>
      </w:r>
      <w:r>
        <w:rPr>
          <w:rFonts w:ascii="Arial" w:hAnsi="Arial" w:cs="Arial"/>
        </w:rPr>
        <w:t xml:space="preserve">le rapport </w:t>
      </w:r>
      <w:proofErr w:type="spellStart"/>
      <w:r>
        <w:rPr>
          <w:rFonts w:ascii="Arial" w:hAnsi="Arial" w:cs="Arial"/>
        </w:rPr>
        <w:t>Delhay</w:t>
      </w:r>
      <w:proofErr w:type="spellEnd"/>
      <w:r>
        <w:rPr>
          <w:rFonts w:ascii="Arial" w:hAnsi="Arial" w:cs="Arial"/>
        </w:rPr>
        <w:t xml:space="preserve"> donne des pistes de recommandations pour aider le candidat à aborder dans les meilleures conditions la troisième partie de l’oral.</w:t>
      </w:r>
      <w:r w:rsidR="00C17D51">
        <w:rPr>
          <w:rFonts w:ascii="Arial" w:hAnsi="Arial" w:cs="Arial"/>
        </w:rPr>
        <w:t xml:space="preserve"> Il s’agit de ce moment précieux où le jury dresse un récapitulatif de la partie initiale de présentation du candidat ainsi que du dialogue qui vient de se dérouler</w:t>
      </w:r>
      <w:r w:rsidR="00D03F66">
        <w:rPr>
          <w:rFonts w:ascii="Arial" w:hAnsi="Arial" w:cs="Arial"/>
        </w:rPr>
        <w:t xml:space="preserve"> en donnant quelques conseils</w:t>
      </w:r>
      <w:r w:rsidR="00C17D51">
        <w:rPr>
          <w:rFonts w:ascii="Arial" w:hAnsi="Arial" w:cs="Arial"/>
        </w:rPr>
        <w:t>.</w:t>
      </w:r>
    </w:p>
    <w:p w:rsidR="00C17D51" w:rsidRDefault="00C17D51" w:rsidP="00C17D51">
      <w:pPr>
        <w:jc w:val="both"/>
        <w:rPr>
          <w:rFonts w:ascii="Arial" w:hAnsi="Arial" w:cs="Arial"/>
        </w:rPr>
      </w:pPr>
    </w:p>
    <w:tbl>
      <w:tblPr>
        <w:tblW w:w="938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88"/>
      </w:tblGrid>
      <w:tr w:rsidR="00C17D51">
        <w:trPr>
          <w:trHeight w:val="1287"/>
        </w:trPr>
        <w:tc>
          <w:tcPr>
            <w:tcW w:w="9388" w:type="dxa"/>
          </w:tcPr>
          <w:p w:rsidR="00C17D51" w:rsidRPr="00C17D51" w:rsidRDefault="00C17D51" w:rsidP="00C17D51">
            <w:pPr>
              <w:spacing w:before="100" w:beforeAutospacing="1" w:after="100" w:afterAutospacing="1"/>
              <w:ind w:left="203"/>
              <w:rPr>
                <w:rFonts w:ascii="Helvetica" w:eastAsia="Times New Roman" w:hAnsi="Helvetica" w:cs="Times New Roman"/>
              </w:rPr>
            </w:pPr>
            <w:proofErr w:type="spellStart"/>
            <w:r w:rsidRPr="00C17D51">
              <w:rPr>
                <w:rFonts w:ascii="Helvetica" w:eastAsia="Times New Roman" w:hAnsi="Helvetica" w:cs="Times New Roman"/>
              </w:rPr>
              <w:t>Après</w:t>
            </w:r>
            <w:proofErr w:type="spellEnd"/>
            <w:r w:rsidRPr="00C17D51">
              <w:rPr>
                <w:rFonts w:ascii="Helvetica" w:eastAsia="Times New Roman" w:hAnsi="Helvetica" w:cs="Times New Roman"/>
              </w:rPr>
              <w:t xml:space="preserve"> la </w:t>
            </w:r>
            <w:proofErr w:type="spellStart"/>
            <w:r w:rsidRPr="00C17D51">
              <w:rPr>
                <w:rFonts w:ascii="Helvetica" w:eastAsia="Times New Roman" w:hAnsi="Helvetica" w:cs="Times New Roman"/>
              </w:rPr>
              <w:t>deuxième</w:t>
            </w:r>
            <w:proofErr w:type="spellEnd"/>
            <w:r w:rsidRPr="00C17D51">
              <w:rPr>
                <w:rFonts w:ascii="Helvetica" w:eastAsia="Times New Roman" w:hAnsi="Helvetica" w:cs="Times New Roman"/>
              </w:rPr>
              <w:t xml:space="preserve"> </w:t>
            </w:r>
            <w:proofErr w:type="spellStart"/>
            <w:r w:rsidRPr="00C17D51">
              <w:rPr>
                <w:rFonts w:ascii="Helvetica" w:eastAsia="Times New Roman" w:hAnsi="Helvetica" w:cs="Times New Roman"/>
              </w:rPr>
              <w:t>étape</w:t>
            </w:r>
            <w:proofErr w:type="spellEnd"/>
            <w:r w:rsidRPr="00C17D51">
              <w:rPr>
                <w:rFonts w:ascii="Helvetica" w:eastAsia="Times New Roman" w:hAnsi="Helvetica" w:cs="Times New Roman"/>
              </w:rPr>
              <w:t xml:space="preserve">, le jury fait un bilan de la </w:t>
            </w:r>
            <w:proofErr w:type="spellStart"/>
            <w:r w:rsidRPr="00C17D51">
              <w:rPr>
                <w:rFonts w:ascii="Helvetica" w:eastAsia="Times New Roman" w:hAnsi="Helvetica" w:cs="Times New Roman"/>
              </w:rPr>
              <w:t>présentation</w:t>
            </w:r>
            <w:proofErr w:type="spellEnd"/>
            <w:r w:rsidRPr="00C17D51">
              <w:rPr>
                <w:rFonts w:ascii="Helvetica" w:eastAsia="Times New Roman" w:hAnsi="Helvetica" w:cs="Times New Roman"/>
              </w:rPr>
              <w:t xml:space="preserve"> initiale et du dialogue qui vient d’avoir lieu afin d’introduire la </w:t>
            </w:r>
            <w:proofErr w:type="spellStart"/>
            <w:r w:rsidRPr="00C17D51">
              <w:rPr>
                <w:rFonts w:ascii="Helvetica" w:eastAsia="Times New Roman" w:hAnsi="Helvetica" w:cs="Times New Roman"/>
              </w:rPr>
              <w:t>troisième</w:t>
            </w:r>
            <w:proofErr w:type="spellEnd"/>
            <w:r w:rsidRPr="00C17D51">
              <w:rPr>
                <w:rFonts w:ascii="Helvetica" w:eastAsia="Times New Roman" w:hAnsi="Helvetica" w:cs="Times New Roman"/>
              </w:rPr>
              <w:t xml:space="preserve"> </w:t>
            </w:r>
            <w:proofErr w:type="spellStart"/>
            <w:r w:rsidRPr="00C17D51">
              <w:rPr>
                <w:rFonts w:ascii="Helvetica" w:eastAsia="Times New Roman" w:hAnsi="Helvetica" w:cs="Times New Roman"/>
              </w:rPr>
              <w:t>étape</w:t>
            </w:r>
            <w:proofErr w:type="spellEnd"/>
            <w:r w:rsidRPr="00C17D51">
              <w:rPr>
                <w:rFonts w:ascii="Helvetica" w:eastAsia="Times New Roman" w:hAnsi="Helvetica" w:cs="Times New Roman"/>
              </w:rPr>
              <w:t xml:space="preserve"> dans les meilleures conditions. Il pourra formuler des conseils concernant à la fois et selon les besoins, la </w:t>
            </w:r>
            <w:proofErr w:type="spellStart"/>
            <w:r w:rsidRPr="00C17D51">
              <w:rPr>
                <w:rFonts w:ascii="Helvetica" w:eastAsia="Times New Roman" w:hAnsi="Helvetica" w:cs="Times New Roman"/>
              </w:rPr>
              <w:t>façon</w:t>
            </w:r>
            <w:proofErr w:type="spellEnd"/>
            <w:r w:rsidRPr="00C17D51">
              <w:rPr>
                <w:rFonts w:ascii="Helvetica" w:eastAsia="Times New Roman" w:hAnsi="Helvetica" w:cs="Times New Roman"/>
              </w:rPr>
              <w:t xml:space="preserve"> de le dire (posture, </w:t>
            </w:r>
            <w:proofErr w:type="spellStart"/>
            <w:r w:rsidRPr="00C17D51">
              <w:rPr>
                <w:rFonts w:ascii="Helvetica" w:eastAsia="Times New Roman" w:hAnsi="Helvetica" w:cs="Times New Roman"/>
              </w:rPr>
              <w:t>débit</w:t>
            </w:r>
            <w:proofErr w:type="spellEnd"/>
            <w:r w:rsidRPr="00C17D51">
              <w:rPr>
                <w:rFonts w:ascii="Helvetica" w:eastAsia="Times New Roman" w:hAnsi="Helvetica" w:cs="Times New Roman"/>
              </w:rPr>
              <w:t>, voix, relation à l’auditoire, etc.) et les contenus.</w:t>
            </w:r>
            <w:r>
              <w:rPr>
                <w:rStyle w:val="Marquenotebasdepage"/>
                <w:rFonts w:ascii="Helvetica" w:eastAsia="Times New Roman" w:hAnsi="Helvetica" w:cs="Times New Roman"/>
              </w:rPr>
              <w:footnoteReference w:id="13"/>
            </w:r>
          </w:p>
        </w:tc>
      </w:tr>
    </w:tbl>
    <w:p w:rsidR="00C17D51" w:rsidRDefault="00C17D51" w:rsidP="00C17D51">
      <w:pPr>
        <w:jc w:val="both"/>
        <w:rPr>
          <w:rFonts w:ascii="Arial" w:hAnsi="Arial" w:cs="Arial"/>
        </w:rPr>
      </w:pPr>
    </w:p>
    <w:p w:rsidR="00C17D51" w:rsidRDefault="00C17D51" w:rsidP="00C17D51">
      <w:pPr>
        <w:jc w:val="both"/>
        <w:rPr>
          <w:rFonts w:ascii="Arial" w:hAnsi="Arial" w:cs="Arial"/>
        </w:rPr>
      </w:pPr>
    </w:p>
    <w:p w:rsidR="00D03F66" w:rsidRDefault="00C17D51" w:rsidP="00C17D51">
      <w:pPr>
        <w:jc w:val="both"/>
        <w:rPr>
          <w:rFonts w:ascii="Arial" w:hAnsi="Arial" w:cs="Arial"/>
          <w:color w:val="4472C4" w:themeColor="accent1"/>
        </w:rPr>
      </w:pPr>
      <w:r w:rsidRPr="00C17D51">
        <w:rPr>
          <w:rFonts w:ascii="Arial" w:hAnsi="Arial" w:cs="Arial"/>
          <w:b/>
          <w:bCs/>
          <w:color w:val="4472C4" w:themeColor="accent1"/>
        </w:rPr>
        <w:t>Revenir sur sa réflexion et exprimer une pensée en acte</w:t>
      </w:r>
      <w:r w:rsidRPr="00C17D51">
        <w:rPr>
          <w:rFonts w:ascii="Arial" w:hAnsi="Arial" w:cs="Arial"/>
          <w:color w:val="4472C4" w:themeColor="accent1"/>
        </w:rPr>
        <w:t xml:space="preserve"> </w:t>
      </w:r>
    </w:p>
    <w:p w:rsidR="00D03F66" w:rsidRDefault="00D03F66" w:rsidP="00C17D51">
      <w:pPr>
        <w:jc w:val="both"/>
        <w:rPr>
          <w:rFonts w:ascii="Arial" w:hAnsi="Arial" w:cs="Arial"/>
          <w:color w:val="4472C4" w:themeColor="accent1"/>
        </w:rPr>
      </w:pPr>
    </w:p>
    <w:p w:rsidR="00D03F66" w:rsidRDefault="00D03F66" w:rsidP="00C17D51">
      <w:pPr>
        <w:jc w:val="both"/>
        <w:rPr>
          <w:rFonts w:ascii="Arial" w:hAnsi="Arial" w:cs="Arial"/>
        </w:rPr>
      </w:pPr>
      <w:r>
        <w:rPr>
          <w:rFonts w:ascii="Arial" w:hAnsi="Arial" w:cs="Arial"/>
        </w:rPr>
        <w:t>Si l’on s’appuie strictement sur le texte officiel de cadrage de l’épreuve, celle-ci se détermine principalement à partir du projet d’orientation de l’élève :</w:t>
      </w:r>
    </w:p>
    <w:p w:rsidR="00D03F66" w:rsidRDefault="00D03F66" w:rsidP="00C17D51">
      <w:pPr>
        <w:jc w:val="both"/>
        <w:rPr>
          <w:rFonts w:ascii="Arial" w:hAnsi="Arial" w:cs="Arial"/>
        </w:rPr>
      </w:pPr>
    </w:p>
    <w:tbl>
      <w:tblPr>
        <w:tblW w:w="93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04"/>
      </w:tblGrid>
      <w:tr w:rsidR="003376DC">
        <w:trPr>
          <w:trHeight w:val="6833"/>
        </w:trPr>
        <w:tc>
          <w:tcPr>
            <w:tcW w:w="9304" w:type="dxa"/>
          </w:tcPr>
          <w:p w:rsidR="003376DC" w:rsidRPr="00D03F66" w:rsidRDefault="003376DC" w:rsidP="003376DC">
            <w:pPr>
              <w:ind w:left="90"/>
              <w:jc w:val="both"/>
              <w:rPr>
                <w:rFonts w:ascii="Arial" w:hAnsi="Arial" w:cs="Arial"/>
                <w:color w:val="4472C4" w:themeColor="accent1"/>
              </w:rPr>
            </w:pPr>
            <w:r w:rsidRPr="00D03F66">
              <w:rPr>
                <w:rFonts w:ascii="Arial" w:hAnsi="Arial" w:cs="Arial"/>
                <w:color w:val="4472C4" w:themeColor="accent1"/>
              </w:rPr>
              <w:t>BO spécial n°2 du 13 février 2020</w:t>
            </w:r>
          </w:p>
          <w:p w:rsidR="003376DC" w:rsidRDefault="003376DC" w:rsidP="003376DC">
            <w:pPr>
              <w:ind w:left="90"/>
              <w:jc w:val="both"/>
              <w:rPr>
                <w:rFonts w:ascii="Arial" w:hAnsi="Arial" w:cs="Arial"/>
                <w:color w:val="4472C4" w:themeColor="accent1"/>
                <w:sz w:val="20"/>
                <w:szCs w:val="20"/>
              </w:rPr>
            </w:pPr>
            <w:r w:rsidRPr="00D03F66">
              <w:rPr>
                <w:rFonts w:ascii="Arial" w:hAnsi="Arial" w:cs="Arial"/>
                <w:color w:val="4472C4" w:themeColor="accent1"/>
                <w:sz w:val="20"/>
                <w:szCs w:val="20"/>
              </w:rPr>
              <w:t>Note de service 2020-036 du 11-02-2020</w:t>
            </w:r>
          </w:p>
          <w:p w:rsidR="003376DC" w:rsidRDefault="003376DC" w:rsidP="003376DC">
            <w:pPr>
              <w:ind w:left="90"/>
              <w:jc w:val="both"/>
              <w:rPr>
                <w:rFonts w:ascii="Arial" w:hAnsi="Arial" w:cs="Arial"/>
                <w:color w:val="4472C4" w:themeColor="accent1"/>
                <w:sz w:val="20"/>
                <w:szCs w:val="20"/>
              </w:rPr>
            </w:pPr>
          </w:p>
          <w:p w:rsidR="003376DC" w:rsidRPr="00D03F66" w:rsidRDefault="003376DC" w:rsidP="003376DC">
            <w:pPr>
              <w:spacing w:before="315" w:after="315"/>
              <w:ind w:left="90"/>
              <w:outlineLvl w:val="2"/>
              <w:rPr>
                <w:rFonts w:ascii="Arial" w:eastAsia="Times New Roman" w:hAnsi="Arial" w:cs="Arial"/>
                <w:b/>
                <w:bCs/>
                <w:color w:val="164092"/>
                <w:sz w:val="27"/>
                <w:szCs w:val="27"/>
              </w:rPr>
            </w:pPr>
            <w:r w:rsidRPr="00D03F66">
              <w:rPr>
                <w:rFonts w:ascii="Arial" w:eastAsia="Times New Roman" w:hAnsi="Arial" w:cs="Arial"/>
                <w:b/>
                <w:bCs/>
                <w:color w:val="164092"/>
                <w:sz w:val="27"/>
                <w:szCs w:val="27"/>
              </w:rPr>
              <w:t>Troisième temps : échange sur le projet d'orientation du candidat (5 minutes)</w:t>
            </w:r>
          </w:p>
          <w:p w:rsidR="003376DC" w:rsidRPr="00D03F66" w:rsidRDefault="003376DC" w:rsidP="003376DC">
            <w:pPr>
              <w:spacing w:after="100" w:afterAutospacing="1"/>
              <w:ind w:left="90"/>
              <w:rPr>
                <w:rFonts w:ascii="Arial" w:eastAsia="Times New Roman" w:hAnsi="Arial" w:cs="Arial"/>
                <w:color w:val="000000"/>
                <w:sz w:val="21"/>
                <w:szCs w:val="21"/>
              </w:rPr>
            </w:pPr>
            <w:r w:rsidRPr="00D03F66">
              <w:rPr>
                <w:rFonts w:ascii="Arial" w:eastAsia="Times New Roman" w:hAnsi="Arial" w:cs="Arial"/>
                <w:color w:val="000000"/>
                <w:sz w:val="21"/>
                <w:szCs w:val="21"/>
              </w:rPr>
              <w:t>Le candidat explique en quoi la question traitée éclaire son projet de poursuite d'études, voire son projet professionnel. Il expose les différentes étapes de la maturation de son projet (rencontres, engagements, stages, mobilité internationale, intérêt pour les enseignements communs, choix de ses spécialités, etc.) et la manière dont il souhaite le mener après le baccalauréat.</w:t>
            </w:r>
          </w:p>
          <w:p w:rsidR="003376DC" w:rsidRPr="00D03F66" w:rsidRDefault="003376DC" w:rsidP="003376DC">
            <w:pPr>
              <w:spacing w:after="100" w:afterAutospacing="1"/>
              <w:ind w:left="90"/>
              <w:rPr>
                <w:rFonts w:ascii="Arial" w:eastAsia="Times New Roman" w:hAnsi="Arial" w:cs="Arial"/>
                <w:color w:val="000000"/>
                <w:sz w:val="21"/>
                <w:szCs w:val="21"/>
              </w:rPr>
            </w:pPr>
            <w:r w:rsidRPr="00D03F66">
              <w:rPr>
                <w:rFonts w:ascii="Arial" w:eastAsia="Times New Roman" w:hAnsi="Arial" w:cs="Arial"/>
                <w:color w:val="000000"/>
                <w:sz w:val="21"/>
                <w:szCs w:val="21"/>
              </w:rPr>
              <w:t>Le jury mesure la capacité du candidat à conduire et exprimer une réflexion personnelle témoignant de sa curiosité intellectuelle et de son aptitude à exprimer ses motivations.</w:t>
            </w:r>
          </w:p>
          <w:p w:rsidR="003376DC" w:rsidRPr="00D03F66" w:rsidRDefault="003376DC" w:rsidP="003376DC">
            <w:pPr>
              <w:spacing w:after="100" w:afterAutospacing="1"/>
              <w:ind w:left="90"/>
              <w:rPr>
                <w:rFonts w:ascii="Arial" w:eastAsia="Times New Roman" w:hAnsi="Arial" w:cs="Arial"/>
                <w:color w:val="000000"/>
                <w:sz w:val="21"/>
                <w:szCs w:val="21"/>
              </w:rPr>
            </w:pPr>
            <w:r w:rsidRPr="00D03F66">
              <w:rPr>
                <w:rFonts w:ascii="Arial" w:eastAsia="Times New Roman" w:hAnsi="Arial" w:cs="Arial"/>
                <w:color w:val="000000"/>
                <w:sz w:val="21"/>
                <w:szCs w:val="21"/>
              </w:rPr>
              <w:t>Le candidat effectue sa présentation du premier temps debout, sauf aménagements pour les candidats à besoins spécifiques. Pour les deuxième et troisième temps de l'épreuve, le candidat est assis ou debout selon son choix.</w:t>
            </w:r>
          </w:p>
          <w:p w:rsidR="003376DC" w:rsidRPr="00D03F66" w:rsidRDefault="003376DC" w:rsidP="003376DC">
            <w:pPr>
              <w:spacing w:after="100" w:afterAutospacing="1"/>
              <w:ind w:left="90"/>
              <w:rPr>
                <w:rFonts w:ascii="Arial" w:eastAsia="Times New Roman" w:hAnsi="Arial" w:cs="Arial"/>
                <w:color w:val="000000"/>
                <w:sz w:val="21"/>
                <w:szCs w:val="21"/>
              </w:rPr>
            </w:pPr>
            <w:r w:rsidRPr="00D03F66">
              <w:rPr>
                <w:rFonts w:ascii="Arial" w:eastAsia="Times New Roman" w:hAnsi="Arial" w:cs="Arial"/>
                <w:color w:val="000000"/>
                <w:sz w:val="21"/>
                <w:szCs w:val="21"/>
              </w:rPr>
              <w:t>Si la question traitée concerne l'enseignement de spécialité langues, littératures et cultures étrangères et régionales, chacun des deux premiers temps de l'épreuve orale terminale peut se dérouler, en partie, dans la langue vivante concernée par l'enseignement de spécialité, selon le choix du candidat.</w:t>
            </w:r>
          </w:p>
          <w:p w:rsidR="00FE4BBF" w:rsidRDefault="003376DC" w:rsidP="00FE4BBF">
            <w:r w:rsidRPr="00D03F66">
              <w:rPr>
                <w:rFonts w:ascii="Arial" w:hAnsi="Arial" w:cs="Arial"/>
                <w:sz w:val="20"/>
                <w:szCs w:val="20"/>
              </w:rPr>
              <w:br w:type="page"/>
            </w:r>
            <w:r w:rsidR="00FE4BBF">
              <w:t>lien vers le BO encadrant l’épreuve « grand oral », voie générale :</w:t>
            </w:r>
          </w:p>
          <w:p w:rsidR="00FE4BBF" w:rsidRDefault="00C21BC8" w:rsidP="00FE4BBF">
            <w:hyperlink r:id="rId8" w:history="1">
              <w:r w:rsidR="00FE4BBF" w:rsidRPr="002B6E60">
                <w:rPr>
                  <w:rStyle w:val="Lienhypertexte"/>
                </w:rPr>
                <w:t>https://www.education.gouv.fr/bo/20/Special2/MENE2002780N.htm?cid_bo=149115</w:t>
              </w:r>
            </w:hyperlink>
          </w:p>
          <w:p w:rsidR="003376DC" w:rsidRDefault="003376DC" w:rsidP="003376DC">
            <w:pPr>
              <w:ind w:left="90"/>
              <w:jc w:val="both"/>
              <w:rPr>
                <w:rFonts w:ascii="Arial" w:hAnsi="Arial" w:cs="Arial"/>
                <w:color w:val="4472C4" w:themeColor="accent1"/>
              </w:rPr>
            </w:pPr>
          </w:p>
        </w:tc>
      </w:tr>
    </w:tbl>
    <w:p w:rsidR="0082545E" w:rsidRDefault="0082545E" w:rsidP="00486D42">
      <w:pPr>
        <w:rPr>
          <w:rFonts w:ascii="Arial" w:hAnsi="Arial" w:cs="Arial"/>
          <w:b/>
          <w:bCs/>
        </w:rPr>
      </w:pPr>
    </w:p>
    <w:p w:rsidR="0082545E" w:rsidRDefault="003376DC" w:rsidP="00486D42">
      <w:pPr>
        <w:rPr>
          <w:rFonts w:ascii="Arial" w:hAnsi="Arial" w:cs="Arial"/>
        </w:rPr>
      </w:pPr>
      <w:r w:rsidRPr="003376DC">
        <w:rPr>
          <w:rFonts w:ascii="Arial" w:hAnsi="Arial" w:cs="Arial"/>
        </w:rPr>
        <w:t xml:space="preserve">Il fait écho aux </w:t>
      </w:r>
      <w:r>
        <w:rPr>
          <w:rFonts w:ascii="Arial" w:hAnsi="Arial" w:cs="Arial"/>
        </w:rPr>
        <w:t xml:space="preserve">« grands </w:t>
      </w:r>
      <w:r w:rsidRPr="003376DC">
        <w:rPr>
          <w:rFonts w:ascii="Arial" w:hAnsi="Arial" w:cs="Arial"/>
        </w:rPr>
        <w:t>objectifs de la discipline</w:t>
      </w:r>
      <w:r>
        <w:rPr>
          <w:rFonts w:ascii="Arial" w:hAnsi="Arial" w:cs="Arial"/>
        </w:rPr>
        <w:t> » :</w:t>
      </w:r>
    </w:p>
    <w:p w:rsidR="003376DC" w:rsidRDefault="003376DC" w:rsidP="003376DC">
      <w:pPr>
        <w:rPr>
          <w:rFonts w:ascii="Arial" w:hAnsi="Arial" w:cs="Arial"/>
        </w:rPr>
      </w:pPr>
    </w:p>
    <w:tbl>
      <w:tblPr>
        <w:tblW w:w="93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46"/>
      </w:tblGrid>
      <w:tr w:rsidR="003376DC">
        <w:trPr>
          <w:trHeight w:val="853"/>
        </w:trPr>
        <w:tc>
          <w:tcPr>
            <w:tcW w:w="9346" w:type="dxa"/>
            <w:shd w:val="clear" w:color="auto" w:fill="D9E2F3" w:themeFill="accent1" w:themeFillTint="33"/>
          </w:tcPr>
          <w:p w:rsidR="003376DC" w:rsidRDefault="003376DC" w:rsidP="003376DC">
            <w:pPr>
              <w:ind w:left="132"/>
              <w:jc w:val="both"/>
              <w:rPr>
                <w:rFonts w:ascii="Arial" w:hAnsi="Arial" w:cs="Arial"/>
                <w:i/>
                <w:iCs/>
              </w:rPr>
            </w:pPr>
            <w:r>
              <w:rPr>
                <w:rFonts w:ascii="Arial" w:hAnsi="Arial" w:cs="Arial"/>
                <w:i/>
                <w:iCs/>
              </w:rPr>
              <w:t>Accompagner l’élève dans les choix qu’il effectue concernant son parcours de formation au lycée ainsi que ceux portant sur son orientation vers les études supérieures</w:t>
            </w:r>
          </w:p>
        </w:tc>
      </w:tr>
    </w:tbl>
    <w:p w:rsidR="003376DC" w:rsidRPr="003376DC" w:rsidRDefault="003376DC" w:rsidP="003376DC">
      <w:pPr>
        <w:rPr>
          <w:rFonts w:ascii="Arial" w:hAnsi="Arial" w:cs="Arial"/>
        </w:rPr>
      </w:pPr>
    </w:p>
    <w:p w:rsidR="00C44113" w:rsidRDefault="003376DC" w:rsidP="003E06ED">
      <w:pPr>
        <w:jc w:val="both"/>
        <w:rPr>
          <w:rFonts w:ascii="Arial" w:hAnsi="Arial" w:cs="Arial"/>
        </w:rPr>
      </w:pPr>
      <w:r>
        <w:rPr>
          <w:rFonts w:ascii="Arial" w:hAnsi="Arial" w:cs="Arial"/>
        </w:rPr>
        <w:t xml:space="preserve">Le rapport </w:t>
      </w:r>
      <w:proofErr w:type="spellStart"/>
      <w:r>
        <w:rPr>
          <w:rFonts w:ascii="Arial" w:hAnsi="Arial" w:cs="Arial"/>
        </w:rPr>
        <w:t>Delhay</w:t>
      </w:r>
      <w:proofErr w:type="spellEnd"/>
      <w:r>
        <w:rPr>
          <w:rFonts w:ascii="Arial" w:hAnsi="Arial" w:cs="Arial"/>
        </w:rPr>
        <w:t xml:space="preserve"> permet d’ouvrir les échanges de cette dernière partie de l’épreuve sur des perspectives liées au choix de la question elle-même, aux convictions</w:t>
      </w:r>
      <w:r w:rsidR="00C44113">
        <w:rPr>
          <w:rFonts w:ascii="Arial" w:hAnsi="Arial" w:cs="Arial"/>
        </w:rPr>
        <w:t xml:space="preserve"> ou à la </w:t>
      </w:r>
      <w:r>
        <w:rPr>
          <w:rFonts w:ascii="Arial" w:hAnsi="Arial" w:cs="Arial"/>
        </w:rPr>
        <w:t xml:space="preserve">posture du candidat, </w:t>
      </w:r>
      <w:r w:rsidR="00C44113">
        <w:rPr>
          <w:rFonts w:ascii="Arial" w:hAnsi="Arial" w:cs="Arial"/>
        </w:rPr>
        <w:t>à sa mobilité intellectuelle.</w:t>
      </w:r>
    </w:p>
    <w:p w:rsidR="00CF381D" w:rsidRPr="003E06ED" w:rsidRDefault="00CF381D" w:rsidP="003E06ED">
      <w:pPr>
        <w:jc w:val="both"/>
        <w:rPr>
          <w:rFonts w:ascii="Arial" w:hAnsi="Arial" w:cs="Arial"/>
        </w:rPr>
      </w:pPr>
    </w:p>
    <w:tbl>
      <w:tblPr>
        <w:tblW w:w="944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45"/>
      </w:tblGrid>
      <w:tr w:rsidR="00C44113">
        <w:trPr>
          <w:trHeight w:val="3665"/>
        </w:trPr>
        <w:tc>
          <w:tcPr>
            <w:tcW w:w="9445" w:type="dxa"/>
          </w:tcPr>
          <w:p w:rsidR="00C44113" w:rsidRPr="00C44113" w:rsidRDefault="003E06ED" w:rsidP="003E06ED">
            <w:pPr>
              <w:pStyle w:val="NormalWeb"/>
            </w:pPr>
            <w:r>
              <w:rPr>
                <w:rFonts w:ascii="Helvetica" w:hAnsi="Helvetica"/>
              </w:rPr>
              <w:t xml:space="preserve">Selon les exigences des disciplines, la question </w:t>
            </w:r>
            <w:proofErr w:type="spellStart"/>
            <w:r>
              <w:rPr>
                <w:rFonts w:ascii="Helvetica" w:hAnsi="Helvetica"/>
              </w:rPr>
              <w:t>posée</w:t>
            </w:r>
            <w:proofErr w:type="spellEnd"/>
            <w:r>
              <w:rPr>
                <w:rFonts w:ascii="Helvetica" w:hAnsi="Helvetica"/>
              </w:rPr>
              <w:t xml:space="preserve"> au candidat en ouverture de cette </w:t>
            </w:r>
            <w:proofErr w:type="spellStart"/>
            <w:r>
              <w:rPr>
                <w:rFonts w:ascii="Helvetica" w:hAnsi="Helvetica"/>
              </w:rPr>
              <w:t>troisième</w:t>
            </w:r>
            <w:proofErr w:type="spellEnd"/>
            <w:r>
              <w:rPr>
                <w:rFonts w:ascii="Helvetica" w:hAnsi="Helvetica"/>
              </w:rPr>
              <w:t xml:space="preserve"> </w:t>
            </w:r>
            <w:proofErr w:type="spellStart"/>
            <w:r>
              <w:rPr>
                <w:rFonts w:ascii="Helvetica" w:hAnsi="Helvetica"/>
              </w:rPr>
              <w:t>étape</w:t>
            </w:r>
            <w:proofErr w:type="spellEnd"/>
            <w:r>
              <w:rPr>
                <w:rFonts w:ascii="Helvetica" w:hAnsi="Helvetica"/>
              </w:rPr>
              <w:t xml:space="preserve"> pourra conduire </w:t>
            </w:r>
            <w:proofErr w:type="spellStart"/>
            <w:r>
              <w:rPr>
                <w:rFonts w:ascii="Helvetica" w:hAnsi="Helvetica"/>
              </w:rPr>
              <w:t>à</w:t>
            </w:r>
            <w:proofErr w:type="spellEnd"/>
            <w:r>
              <w:rPr>
                <w:rFonts w:ascii="Helvetica" w:hAnsi="Helvetica"/>
              </w:rPr>
              <w:t xml:space="preserve"> </w:t>
            </w:r>
            <w:proofErr w:type="spellStart"/>
            <w:r>
              <w:rPr>
                <w:rFonts w:ascii="Helvetica" w:hAnsi="Helvetica"/>
              </w:rPr>
              <w:t>différentes</w:t>
            </w:r>
            <w:proofErr w:type="spellEnd"/>
            <w:r>
              <w:rPr>
                <w:rFonts w:ascii="Helvetica" w:hAnsi="Helvetica"/>
              </w:rPr>
              <w:t xml:space="preserve"> mises en jeu de sa </w:t>
            </w:r>
            <w:proofErr w:type="spellStart"/>
            <w:r>
              <w:rPr>
                <w:rFonts w:ascii="Helvetica" w:hAnsi="Helvetica"/>
              </w:rPr>
              <w:t>réflexion</w:t>
            </w:r>
            <w:proofErr w:type="spellEnd"/>
            <w:r>
              <w:rPr>
                <w:rFonts w:ascii="Helvetica" w:hAnsi="Helvetica"/>
              </w:rPr>
              <w:t xml:space="preserve"> : </w:t>
            </w:r>
          </w:p>
          <w:p w:rsidR="00C44113" w:rsidRPr="00C44113" w:rsidRDefault="00C44113" w:rsidP="00C44113">
            <w:pPr>
              <w:spacing w:before="100" w:beforeAutospacing="1" w:after="100" w:afterAutospacing="1"/>
              <w:ind w:left="217"/>
              <w:rPr>
                <w:rFonts w:ascii="Times New Roman" w:eastAsia="Times New Roman" w:hAnsi="Times New Roman" w:cs="Times New Roman"/>
              </w:rPr>
            </w:pPr>
            <w:r w:rsidRPr="00C44113">
              <w:rPr>
                <w:rFonts w:ascii="Helvetica" w:eastAsia="Times New Roman" w:hAnsi="Helvetica" w:cs="Times New Roman"/>
              </w:rPr>
              <w:t xml:space="preserve">- dans une mise en situation, en se mettant à la place d’une partie prenante ; </w:t>
            </w:r>
          </w:p>
          <w:p w:rsidR="00C44113" w:rsidRPr="00C44113" w:rsidRDefault="00C44113" w:rsidP="00C44113">
            <w:pPr>
              <w:spacing w:before="100" w:beforeAutospacing="1" w:after="100" w:afterAutospacing="1"/>
              <w:ind w:left="217"/>
              <w:rPr>
                <w:rFonts w:ascii="Times New Roman" w:eastAsia="Times New Roman" w:hAnsi="Times New Roman" w:cs="Times New Roman"/>
              </w:rPr>
            </w:pPr>
            <w:r w:rsidRPr="00C44113">
              <w:rPr>
                <w:rFonts w:ascii="Helvetica" w:eastAsia="Times New Roman" w:hAnsi="Helvetica" w:cs="Times New Roman"/>
              </w:rPr>
              <w:t xml:space="preserve">- dans un exemple, un cas particulier, une illustration, une application. La </w:t>
            </w:r>
            <w:proofErr w:type="spellStart"/>
            <w:r w:rsidRPr="00C44113">
              <w:rPr>
                <w:rFonts w:ascii="Helvetica" w:eastAsia="Times New Roman" w:hAnsi="Helvetica" w:cs="Times New Roman"/>
              </w:rPr>
              <w:t>réflexion</w:t>
            </w:r>
            <w:proofErr w:type="spellEnd"/>
            <w:r w:rsidRPr="00C44113">
              <w:rPr>
                <w:rFonts w:ascii="Helvetica" w:eastAsia="Times New Roman" w:hAnsi="Helvetica" w:cs="Times New Roman"/>
              </w:rPr>
              <w:t xml:space="preserve"> pourra ainsi porter sur des </w:t>
            </w:r>
            <w:proofErr w:type="spellStart"/>
            <w:r w:rsidRPr="00C44113">
              <w:rPr>
                <w:rFonts w:ascii="Helvetica" w:eastAsia="Times New Roman" w:hAnsi="Helvetica" w:cs="Times New Roman"/>
              </w:rPr>
              <w:t>améliorations</w:t>
            </w:r>
            <w:proofErr w:type="spellEnd"/>
            <w:r w:rsidRPr="00C44113">
              <w:rPr>
                <w:rFonts w:ascii="Helvetica" w:eastAsia="Times New Roman" w:hAnsi="Helvetica" w:cs="Times New Roman"/>
              </w:rPr>
              <w:t xml:space="preserve">, des limites, des </w:t>
            </w:r>
            <w:proofErr w:type="spellStart"/>
            <w:r w:rsidRPr="00C44113">
              <w:rPr>
                <w:rFonts w:ascii="Helvetica" w:eastAsia="Times New Roman" w:hAnsi="Helvetica" w:cs="Times New Roman"/>
              </w:rPr>
              <w:t>conséquences</w:t>
            </w:r>
            <w:proofErr w:type="spellEnd"/>
            <w:r w:rsidRPr="00C44113">
              <w:rPr>
                <w:rFonts w:ascii="Helvetica" w:eastAsia="Times New Roman" w:hAnsi="Helvetica" w:cs="Times New Roman"/>
              </w:rPr>
              <w:t xml:space="preserve"> scientifiques, </w:t>
            </w:r>
            <w:proofErr w:type="spellStart"/>
            <w:r w:rsidRPr="00C44113">
              <w:rPr>
                <w:rFonts w:ascii="Helvetica" w:eastAsia="Times New Roman" w:hAnsi="Helvetica" w:cs="Times New Roman"/>
              </w:rPr>
              <w:t>économiques</w:t>
            </w:r>
            <w:proofErr w:type="spellEnd"/>
            <w:r w:rsidRPr="00C44113">
              <w:rPr>
                <w:rFonts w:ascii="Helvetica" w:eastAsia="Times New Roman" w:hAnsi="Helvetica" w:cs="Times New Roman"/>
              </w:rPr>
              <w:t xml:space="preserve"> industrielles </w:t>
            </w:r>
            <w:proofErr w:type="spellStart"/>
            <w:r w:rsidRPr="00C44113">
              <w:rPr>
                <w:rFonts w:ascii="Helvetica" w:eastAsia="Times New Roman" w:hAnsi="Helvetica" w:cs="Times New Roman"/>
              </w:rPr>
              <w:t>liées</w:t>
            </w:r>
            <w:proofErr w:type="spellEnd"/>
            <w:r w:rsidRPr="00C44113">
              <w:rPr>
                <w:rFonts w:ascii="Helvetica" w:eastAsia="Times New Roman" w:hAnsi="Helvetica" w:cs="Times New Roman"/>
              </w:rPr>
              <w:t xml:space="preserve"> au dispositif </w:t>
            </w:r>
            <w:proofErr w:type="spellStart"/>
            <w:r w:rsidRPr="00C44113">
              <w:rPr>
                <w:rFonts w:ascii="Helvetica" w:eastAsia="Times New Roman" w:hAnsi="Helvetica" w:cs="Times New Roman"/>
              </w:rPr>
              <w:t>expérimental</w:t>
            </w:r>
            <w:proofErr w:type="spellEnd"/>
            <w:r w:rsidRPr="00C44113">
              <w:rPr>
                <w:rFonts w:ascii="Helvetica" w:eastAsia="Times New Roman" w:hAnsi="Helvetica" w:cs="Times New Roman"/>
              </w:rPr>
              <w:t xml:space="preserve"> utilisé, à un </w:t>
            </w:r>
            <w:proofErr w:type="spellStart"/>
            <w:r w:rsidRPr="00C44113">
              <w:rPr>
                <w:rFonts w:ascii="Helvetica" w:eastAsia="Times New Roman" w:hAnsi="Helvetica" w:cs="Times New Roman"/>
              </w:rPr>
              <w:t>modèle</w:t>
            </w:r>
            <w:proofErr w:type="spellEnd"/>
            <w:r w:rsidRPr="00C44113">
              <w:rPr>
                <w:rFonts w:ascii="Helvetica" w:eastAsia="Times New Roman" w:hAnsi="Helvetica" w:cs="Times New Roman"/>
              </w:rPr>
              <w:t xml:space="preserve"> </w:t>
            </w:r>
            <w:proofErr w:type="spellStart"/>
            <w:r w:rsidRPr="00C44113">
              <w:rPr>
                <w:rFonts w:ascii="Helvetica" w:eastAsia="Times New Roman" w:hAnsi="Helvetica" w:cs="Times New Roman"/>
              </w:rPr>
              <w:t>théorique</w:t>
            </w:r>
            <w:proofErr w:type="spellEnd"/>
            <w:r w:rsidRPr="00C44113">
              <w:rPr>
                <w:rFonts w:ascii="Helvetica" w:eastAsia="Times New Roman" w:hAnsi="Helvetica" w:cs="Times New Roman"/>
              </w:rPr>
              <w:t xml:space="preserve"> mobilisé, à une simulation, aux </w:t>
            </w:r>
            <w:proofErr w:type="spellStart"/>
            <w:r w:rsidRPr="00C44113">
              <w:rPr>
                <w:rFonts w:ascii="Helvetica" w:eastAsia="Times New Roman" w:hAnsi="Helvetica" w:cs="Times New Roman"/>
              </w:rPr>
              <w:t>données</w:t>
            </w:r>
            <w:proofErr w:type="spellEnd"/>
            <w:r w:rsidRPr="00C44113">
              <w:rPr>
                <w:rFonts w:ascii="Helvetica" w:eastAsia="Times New Roman" w:hAnsi="Helvetica" w:cs="Times New Roman"/>
              </w:rPr>
              <w:t xml:space="preserve"> </w:t>
            </w:r>
            <w:proofErr w:type="spellStart"/>
            <w:r w:rsidRPr="00C44113">
              <w:rPr>
                <w:rFonts w:ascii="Helvetica" w:eastAsia="Times New Roman" w:hAnsi="Helvetica" w:cs="Times New Roman"/>
              </w:rPr>
              <w:t>collectées</w:t>
            </w:r>
            <w:proofErr w:type="spellEnd"/>
            <w:r w:rsidRPr="00C44113">
              <w:rPr>
                <w:rFonts w:ascii="Helvetica" w:eastAsia="Times New Roman" w:hAnsi="Helvetica" w:cs="Times New Roman"/>
              </w:rPr>
              <w:t xml:space="preserve">, aux </w:t>
            </w:r>
            <w:proofErr w:type="spellStart"/>
            <w:r w:rsidRPr="00C44113">
              <w:rPr>
                <w:rFonts w:ascii="Helvetica" w:eastAsia="Times New Roman" w:hAnsi="Helvetica" w:cs="Times New Roman"/>
              </w:rPr>
              <w:t>prédictions</w:t>
            </w:r>
            <w:proofErr w:type="spellEnd"/>
            <w:r w:rsidRPr="00C44113">
              <w:rPr>
                <w:rFonts w:ascii="Helvetica" w:eastAsia="Times New Roman" w:hAnsi="Helvetica" w:cs="Times New Roman"/>
              </w:rPr>
              <w:t xml:space="preserve"> faites, etc. ; </w:t>
            </w:r>
          </w:p>
          <w:p w:rsidR="00C44113" w:rsidRPr="00C44113" w:rsidRDefault="00C44113" w:rsidP="00C44113">
            <w:pPr>
              <w:spacing w:before="100" w:beforeAutospacing="1" w:after="100" w:afterAutospacing="1"/>
              <w:ind w:left="217"/>
              <w:rPr>
                <w:rFonts w:ascii="Helvetica" w:eastAsia="Times New Roman" w:hAnsi="Helvetica" w:cs="Times New Roman"/>
              </w:rPr>
            </w:pPr>
            <w:r w:rsidRPr="00C44113">
              <w:rPr>
                <w:rFonts w:ascii="Helvetica" w:eastAsia="Times New Roman" w:hAnsi="Helvetica" w:cs="Times New Roman"/>
              </w:rPr>
              <w:t xml:space="preserve">- en reformulant une partie de la </w:t>
            </w:r>
            <w:proofErr w:type="spellStart"/>
            <w:r w:rsidRPr="00C44113">
              <w:rPr>
                <w:rFonts w:ascii="Helvetica" w:eastAsia="Times New Roman" w:hAnsi="Helvetica" w:cs="Times New Roman"/>
              </w:rPr>
              <w:t>présentation</w:t>
            </w:r>
            <w:proofErr w:type="spellEnd"/>
            <w:r w:rsidRPr="00C44113">
              <w:rPr>
                <w:rFonts w:ascii="Helvetica" w:eastAsia="Times New Roman" w:hAnsi="Helvetica" w:cs="Times New Roman"/>
              </w:rPr>
              <w:t xml:space="preserve">, mais en adoptant une nouvelle perspective enrichie par les </w:t>
            </w:r>
            <w:proofErr w:type="spellStart"/>
            <w:r w:rsidRPr="00C44113">
              <w:rPr>
                <w:rFonts w:ascii="Helvetica" w:eastAsia="Times New Roman" w:hAnsi="Helvetica" w:cs="Times New Roman"/>
              </w:rPr>
              <w:t>échanges</w:t>
            </w:r>
            <w:proofErr w:type="spellEnd"/>
            <w:r w:rsidRPr="00C44113">
              <w:rPr>
                <w:rFonts w:ascii="Helvetica" w:eastAsia="Times New Roman" w:hAnsi="Helvetica" w:cs="Times New Roman"/>
              </w:rPr>
              <w:t xml:space="preserve"> ou </w:t>
            </w:r>
            <w:proofErr w:type="spellStart"/>
            <w:r w:rsidRPr="00C44113">
              <w:rPr>
                <w:rFonts w:ascii="Helvetica" w:eastAsia="Times New Roman" w:hAnsi="Helvetica" w:cs="Times New Roman"/>
              </w:rPr>
              <w:t>suggérée</w:t>
            </w:r>
            <w:proofErr w:type="spellEnd"/>
            <w:r w:rsidRPr="00C44113">
              <w:rPr>
                <w:rFonts w:ascii="Helvetica" w:eastAsia="Times New Roman" w:hAnsi="Helvetica" w:cs="Times New Roman"/>
              </w:rPr>
              <w:t xml:space="preserve"> par le jury</w:t>
            </w:r>
            <w:r>
              <w:rPr>
                <w:rStyle w:val="Marquenotebasdepage"/>
                <w:rFonts w:ascii="Helvetica" w:eastAsia="Times New Roman" w:hAnsi="Helvetica" w:cs="Times New Roman"/>
              </w:rPr>
              <w:footnoteReference w:id="14"/>
            </w:r>
            <w:r w:rsidRPr="00C44113">
              <w:rPr>
                <w:rFonts w:ascii="Helvetica" w:eastAsia="Times New Roman" w:hAnsi="Helvetica" w:cs="Times New Roman"/>
              </w:rPr>
              <w:t xml:space="preserve">. </w:t>
            </w:r>
          </w:p>
        </w:tc>
      </w:tr>
    </w:tbl>
    <w:p w:rsidR="00C44113" w:rsidRDefault="00C44113" w:rsidP="003376DC">
      <w:pPr>
        <w:jc w:val="both"/>
        <w:rPr>
          <w:rFonts w:ascii="Arial" w:hAnsi="Arial" w:cs="Arial"/>
        </w:rPr>
      </w:pPr>
    </w:p>
    <w:p w:rsidR="00223AB6" w:rsidRDefault="00223AB6" w:rsidP="003376DC">
      <w:pPr>
        <w:jc w:val="both"/>
        <w:rPr>
          <w:rFonts w:ascii="Arial" w:hAnsi="Arial" w:cs="Arial"/>
        </w:rPr>
      </w:pPr>
      <w:r>
        <w:rPr>
          <w:rFonts w:ascii="Arial" w:hAnsi="Arial" w:cs="Arial"/>
        </w:rPr>
        <w:t>L’intitulé même de la troisième partie du grand oral synthétise les objectifs et les enjeux de la discipline. Le professeur d’arts plastiques conçoit des situations pédagogiques diverses dans leurs formes et leurs contenus pour :</w:t>
      </w:r>
    </w:p>
    <w:p w:rsidR="00223AB6" w:rsidRDefault="00223AB6" w:rsidP="003376DC">
      <w:pPr>
        <w:jc w:val="both"/>
        <w:rPr>
          <w:rFonts w:ascii="Arial" w:hAnsi="Arial" w:cs="Arial"/>
        </w:rPr>
      </w:pPr>
    </w:p>
    <w:tbl>
      <w:tblPr>
        <w:tblW w:w="9478"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8"/>
      </w:tblGrid>
      <w:tr w:rsidR="00223AB6">
        <w:trPr>
          <w:trHeight w:val="694"/>
        </w:trPr>
        <w:tc>
          <w:tcPr>
            <w:tcW w:w="9478" w:type="dxa"/>
            <w:shd w:val="clear" w:color="auto" w:fill="D9E2F3" w:themeFill="accent1" w:themeFillTint="33"/>
          </w:tcPr>
          <w:p w:rsidR="00223AB6" w:rsidRDefault="00223AB6" w:rsidP="00223AB6">
            <w:pPr>
              <w:ind w:left="186"/>
              <w:jc w:val="both"/>
              <w:rPr>
                <w:rFonts w:ascii="Arial" w:hAnsi="Arial" w:cs="Arial"/>
                <w:i/>
                <w:iCs/>
              </w:rPr>
            </w:pPr>
            <w:r>
              <w:rPr>
                <w:rFonts w:ascii="Arial" w:hAnsi="Arial" w:cs="Arial"/>
                <w:i/>
                <w:iCs/>
              </w:rPr>
              <w:t>stimuler l’initiative et l’audace, le potentiel d’invention et la créativité, l’autonomie et la responsabilité, la prise de recul et le regard critique</w:t>
            </w:r>
            <w:r>
              <w:rPr>
                <w:rStyle w:val="Marquenotebasdepage"/>
                <w:rFonts w:ascii="Arial" w:hAnsi="Arial" w:cs="Arial"/>
                <w:i/>
                <w:iCs/>
              </w:rPr>
              <w:footnoteReference w:id="15"/>
            </w:r>
            <w:r>
              <w:rPr>
                <w:rFonts w:ascii="Arial" w:hAnsi="Arial" w:cs="Arial"/>
                <w:i/>
                <w:iCs/>
              </w:rPr>
              <w:t>.</w:t>
            </w:r>
          </w:p>
        </w:tc>
      </w:tr>
    </w:tbl>
    <w:p w:rsidR="00223AB6" w:rsidRDefault="00223AB6" w:rsidP="00223AB6">
      <w:pPr>
        <w:rPr>
          <w:rFonts w:ascii="Arial" w:hAnsi="Arial" w:cs="Arial"/>
          <w:i/>
          <w:iCs/>
        </w:rPr>
      </w:pPr>
    </w:p>
    <w:p w:rsidR="00223AB6" w:rsidRDefault="00223AB6" w:rsidP="00223AB6">
      <w:pPr>
        <w:jc w:val="both"/>
        <w:rPr>
          <w:rFonts w:ascii="Arial" w:hAnsi="Arial" w:cs="Arial"/>
        </w:rPr>
      </w:pPr>
      <w:r>
        <w:rPr>
          <w:rFonts w:ascii="Arial" w:hAnsi="Arial" w:cs="Arial"/>
        </w:rPr>
        <w:t xml:space="preserve">La méthode d’analyse de l’œuvre d’art et plus largement de l’image et de la production plastique est développée, structurée pour </w:t>
      </w:r>
      <w:r>
        <w:rPr>
          <w:rFonts w:ascii="Arial" w:hAnsi="Arial" w:cs="Arial"/>
          <w:i/>
          <w:iCs/>
        </w:rPr>
        <w:t>instruire une pensée sur l’œuvre</w:t>
      </w:r>
      <w:r>
        <w:rPr>
          <w:rStyle w:val="Marquenotebasdepage"/>
          <w:rFonts w:ascii="Arial" w:hAnsi="Arial" w:cs="Arial"/>
          <w:i/>
          <w:iCs/>
        </w:rPr>
        <w:footnoteReference w:id="16"/>
      </w:r>
      <w:r>
        <w:rPr>
          <w:rFonts w:ascii="Arial" w:hAnsi="Arial" w:cs="Arial"/>
        </w:rPr>
        <w:t>.</w:t>
      </w:r>
    </w:p>
    <w:p w:rsidR="00223AB6" w:rsidRDefault="00223AB6" w:rsidP="00223AB6">
      <w:pPr>
        <w:jc w:val="both"/>
        <w:rPr>
          <w:rFonts w:ascii="Arial" w:hAnsi="Arial" w:cs="Arial"/>
        </w:rPr>
      </w:pPr>
    </w:p>
    <w:p w:rsidR="00223AB6" w:rsidRPr="00223AB6" w:rsidRDefault="00D516B5" w:rsidP="00223AB6">
      <w:pPr>
        <w:jc w:val="both"/>
        <w:rPr>
          <w:rFonts w:ascii="Arial" w:hAnsi="Arial" w:cs="Arial"/>
        </w:rPr>
      </w:pPr>
      <w:r>
        <w:rPr>
          <w:rFonts w:ascii="Arial" w:hAnsi="Arial" w:cs="Arial"/>
        </w:rPr>
        <w:t xml:space="preserve">Ces quelques pistes d’analyse croisée des compétences orales vous invitent à repérer, dans le fil du parcours terminal de formation de l’élève, les occasions de les mettre en exergue dans votre projet d’enseignement. </w:t>
      </w:r>
      <w:r w:rsidR="00223AB6">
        <w:rPr>
          <w:rFonts w:ascii="Arial" w:hAnsi="Arial" w:cs="Arial"/>
        </w:rPr>
        <w:t xml:space="preserve">Il ne s’agit pas ici de lister les multiples </w:t>
      </w:r>
      <w:r w:rsidR="00771550">
        <w:rPr>
          <w:rFonts w:ascii="Arial" w:hAnsi="Arial" w:cs="Arial"/>
        </w:rPr>
        <w:t>possibilité</w:t>
      </w:r>
      <w:r w:rsidR="00223AB6">
        <w:rPr>
          <w:rFonts w:ascii="Arial" w:hAnsi="Arial" w:cs="Arial"/>
        </w:rPr>
        <w:t xml:space="preserve">s de travailler les </w:t>
      </w:r>
      <w:r>
        <w:rPr>
          <w:rFonts w:ascii="Arial" w:hAnsi="Arial" w:cs="Arial"/>
        </w:rPr>
        <w:t xml:space="preserve">interrelations entre </w:t>
      </w:r>
      <w:r w:rsidR="00223AB6">
        <w:rPr>
          <w:rFonts w:ascii="Arial" w:hAnsi="Arial" w:cs="Arial"/>
        </w:rPr>
        <w:t xml:space="preserve">compétences attendues de l’épreuve du grand oral </w:t>
      </w:r>
      <w:r>
        <w:rPr>
          <w:rFonts w:ascii="Arial" w:hAnsi="Arial" w:cs="Arial"/>
        </w:rPr>
        <w:t xml:space="preserve">et celles des programmes de l’enseignement de spécialité </w:t>
      </w:r>
      <w:r w:rsidR="00223AB6">
        <w:rPr>
          <w:rFonts w:ascii="Arial" w:hAnsi="Arial" w:cs="Arial"/>
        </w:rPr>
        <w:t xml:space="preserve">mais </w:t>
      </w:r>
      <w:r>
        <w:rPr>
          <w:rFonts w:ascii="Arial" w:hAnsi="Arial" w:cs="Arial"/>
        </w:rPr>
        <w:t xml:space="preserve">plutôt </w:t>
      </w:r>
      <w:r w:rsidR="00223AB6">
        <w:rPr>
          <w:rFonts w:ascii="Arial" w:hAnsi="Arial" w:cs="Arial"/>
        </w:rPr>
        <w:t>de s’imprégner de son esprit pour accompagner</w:t>
      </w:r>
      <w:r>
        <w:rPr>
          <w:rFonts w:ascii="Arial" w:hAnsi="Arial" w:cs="Arial"/>
        </w:rPr>
        <w:t xml:space="preserve"> le futur candidat à se situer par rapport à sa propre formation en enseignement de spécialité afin de prendre conscience </w:t>
      </w:r>
      <w:r w:rsidR="00771550">
        <w:rPr>
          <w:rFonts w:ascii="Arial" w:hAnsi="Arial" w:cs="Arial"/>
        </w:rPr>
        <w:t xml:space="preserve">de </w:t>
      </w:r>
      <w:r>
        <w:rPr>
          <w:rFonts w:ascii="Arial" w:hAnsi="Arial" w:cs="Arial"/>
        </w:rPr>
        <w:t>ce qui fait saillie</w:t>
      </w:r>
      <w:r w:rsidR="00771550">
        <w:rPr>
          <w:rFonts w:ascii="Arial" w:hAnsi="Arial" w:cs="Arial"/>
        </w:rPr>
        <w:t xml:space="preserve"> dans son projet personnel</w:t>
      </w:r>
      <w:r>
        <w:rPr>
          <w:rFonts w:ascii="Arial" w:hAnsi="Arial" w:cs="Arial"/>
        </w:rPr>
        <w:t xml:space="preserve"> et le porte à en faire une « question vive ».</w:t>
      </w:r>
    </w:p>
    <w:sectPr w:rsidR="00223AB6" w:rsidRPr="00223AB6" w:rsidSect="00C21BC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50301" w:rsidRDefault="00350301" w:rsidP="00B81419">
      <w:r>
        <w:separator/>
      </w:r>
    </w:p>
  </w:endnote>
  <w:endnote w:type="continuationSeparator" w:id="1">
    <w:p w:rsidR="00350301" w:rsidRDefault="00350301" w:rsidP="00B81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Bold">
    <w:altName w:val="Helvetica"/>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Style w:val="Numrodepage"/>
      </w:rPr>
      <w:id w:val="-125159416"/>
      <w:docPartObj>
        <w:docPartGallery w:val="Page Numbers (Bottom of Page)"/>
        <w:docPartUnique/>
      </w:docPartObj>
    </w:sdtPr>
    <w:sdtContent>
      <w:p w:rsidR="00210856" w:rsidRDefault="00C21BC8" w:rsidP="00AD7D54">
        <w:pPr>
          <w:pStyle w:val="Pieddepage"/>
          <w:framePr w:wrap="none" w:vAnchor="text" w:hAnchor="margin" w:xAlign="center" w:y="1"/>
          <w:rPr>
            <w:rStyle w:val="Numrodepage"/>
          </w:rPr>
        </w:pPr>
        <w:r>
          <w:rPr>
            <w:rStyle w:val="Numrodepage"/>
          </w:rPr>
          <w:fldChar w:fldCharType="begin"/>
        </w:r>
        <w:r w:rsidR="00210856">
          <w:rPr>
            <w:rStyle w:val="Numrodepage"/>
          </w:rPr>
          <w:instrText xml:space="preserve"> PAGE </w:instrText>
        </w:r>
        <w:r>
          <w:rPr>
            <w:rStyle w:val="Numrodepage"/>
          </w:rPr>
          <w:fldChar w:fldCharType="end"/>
        </w:r>
      </w:p>
    </w:sdtContent>
  </w:sdt>
  <w:p w:rsidR="00210856" w:rsidRDefault="00210856">
    <w:pPr>
      <w:pStyle w:val="Pieddepag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rStyle w:val="Numrodepage"/>
      </w:rPr>
      <w:id w:val="-807241737"/>
      <w:docPartObj>
        <w:docPartGallery w:val="Page Numbers (Bottom of Page)"/>
        <w:docPartUnique/>
      </w:docPartObj>
    </w:sdtPr>
    <w:sdtContent>
      <w:p w:rsidR="00210856" w:rsidRDefault="00C21BC8" w:rsidP="00AD7D54">
        <w:pPr>
          <w:pStyle w:val="Pieddepage"/>
          <w:framePr w:wrap="none" w:vAnchor="text" w:hAnchor="margin" w:xAlign="center" w:y="1"/>
          <w:rPr>
            <w:rStyle w:val="Numrodepage"/>
          </w:rPr>
        </w:pPr>
        <w:r>
          <w:rPr>
            <w:rStyle w:val="Numrodepage"/>
          </w:rPr>
          <w:fldChar w:fldCharType="begin"/>
        </w:r>
        <w:r w:rsidR="00210856">
          <w:rPr>
            <w:rStyle w:val="Numrodepage"/>
          </w:rPr>
          <w:instrText xml:space="preserve"> PAGE </w:instrText>
        </w:r>
        <w:r>
          <w:rPr>
            <w:rStyle w:val="Numrodepage"/>
          </w:rPr>
          <w:fldChar w:fldCharType="separate"/>
        </w:r>
        <w:r w:rsidR="00C00236">
          <w:rPr>
            <w:rStyle w:val="Numrodepage"/>
            <w:noProof/>
          </w:rPr>
          <w:t>5</w:t>
        </w:r>
        <w:r>
          <w:rPr>
            <w:rStyle w:val="Numrodepage"/>
          </w:rPr>
          <w:fldChar w:fldCharType="end"/>
        </w:r>
      </w:p>
    </w:sdtContent>
  </w:sdt>
  <w:p w:rsidR="00210856" w:rsidRDefault="00210856">
    <w:pPr>
      <w:pStyle w:val="Pieddepag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50301" w:rsidRDefault="00350301" w:rsidP="00B81419">
      <w:r>
        <w:separator/>
      </w:r>
    </w:p>
  </w:footnote>
  <w:footnote w:type="continuationSeparator" w:id="1">
    <w:p w:rsidR="00350301" w:rsidRDefault="00350301" w:rsidP="00B81419">
      <w:r>
        <w:continuationSeparator/>
      </w:r>
    </w:p>
  </w:footnote>
  <w:footnote w:id="2">
    <w:p w:rsidR="00486D42" w:rsidRDefault="00486D42">
      <w:pPr>
        <w:pStyle w:val="Notedebasdepage"/>
      </w:pPr>
      <w:r>
        <w:rPr>
          <w:rStyle w:val="Marquenotebasdepage"/>
        </w:rPr>
        <w:footnoteRef/>
      </w:r>
      <w:r>
        <w:t xml:space="preserve"> Rapport « Faire du grand oral un levier d’égalité des chances », Cyril </w:t>
      </w:r>
      <w:proofErr w:type="spellStart"/>
      <w:r>
        <w:t>Delhay</w:t>
      </w:r>
      <w:proofErr w:type="spellEnd"/>
      <w:r>
        <w:t>, 19 juin 2019, p. 20.</w:t>
      </w:r>
    </w:p>
  </w:footnote>
  <w:footnote w:id="3">
    <w:p w:rsidR="00483D53" w:rsidRDefault="00483D53">
      <w:pPr>
        <w:pStyle w:val="Notedebasdepage"/>
      </w:pPr>
      <w:r>
        <w:rPr>
          <w:rStyle w:val="Marquenotebasdepage"/>
        </w:rPr>
        <w:footnoteRef/>
      </w:r>
      <w:r>
        <w:t xml:space="preserve"> Programmes d’arts plastiques, classe de première, enseignement de spécialité, voie générale, p. 5.</w:t>
      </w:r>
    </w:p>
  </w:footnote>
  <w:footnote w:id="4">
    <w:p w:rsidR="006F3013" w:rsidRDefault="006F3013">
      <w:pPr>
        <w:pStyle w:val="Notedebasdepage"/>
      </w:pPr>
      <w:r>
        <w:rPr>
          <w:rStyle w:val="Marquenotebasdepage"/>
        </w:rPr>
        <w:footnoteRef/>
      </w:r>
      <w:r>
        <w:t xml:space="preserve"> Tableau extrait du rapport </w:t>
      </w:r>
      <w:proofErr w:type="spellStart"/>
      <w:r>
        <w:t>Delhay</w:t>
      </w:r>
      <w:proofErr w:type="spellEnd"/>
      <w:r>
        <w:t>, p. 25.</w:t>
      </w:r>
    </w:p>
  </w:footnote>
  <w:footnote w:id="5">
    <w:p w:rsidR="00CF381D" w:rsidRDefault="00CF381D">
      <w:pPr>
        <w:pStyle w:val="Notedebasdepage"/>
      </w:pPr>
      <w:r>
        <w:rPr>
          <w:rStyle w:val="Marquenotebasdepage"/>
        </w:rPr>
        <w:footnoteRef/>
      </w:r>
      <w:r>
        <w:t xml:space="preserve"> Selon le rapport </w:t>
      </w:r>
      <w:proofErr w:type="spellStart"/>
      <w:r>
        <w:t>Delhay</w:t>
      </w:r>
      <w:proofErr w:type="spellEnd"/>
      <w:r>
        <w:t>, mais attention, le texte de cadrage du BO ne donne aucune recommandation</w:t>
      </w:r>
      <w:r w:rsidR="006F3013">
        <w:t xml:space="preserve"> </w:t>
      </w:r>
      <w:r>
        <w:t>de répartition des points.</w:t>
      </w:r>
    </w:p>
  </w:footnote>
  <w:footnote w:id="6">
    <w:p w:rsidR="00B81419" w:rsidRDefault="00B81419">
      <w:pPr>
        <w:pStyle w:val="Notedebasdepage"/>
      </w:pPr>
      <w:r>
        <w:rPr>
          <w:rStyle w:val="Marquenotebasdepage"/>
        </w:rPr>
        <w:footnoteRef/>
      </w:r>
      <w:r>
        <w:t xml:space="preserve"> Programmes d’arts plastiques, classe de première, enseignement de spécialité, voie générale, p. 7.</w:t>
      </w:r>
    </w:p>
  </w:footnote>
  <w:footnote w:id="7">
    <w:p w:rsidR="00B81419" w:rsidRPr="00B81419" w:rsidRDefault="00B81419">
      <w:pPr>
        <w:pStyle w:val="Notedebasdepage"/>
      </w:pPr>
      <w:r>
        <w:rPr>
          <w:rStyle w:val="Marquenotebasdepage"/>
        </w:rPr>
        <w:footnoteRef/>
      </w:r>
      <w:r>
        <w:t xml:space="preserve"> </w:t>
      </w:r>
      <w:r>
        <w:rPr>
          <w:i/>
          <w:iCs/>
        </w:rPr>
        <w:t>Ibidem</w:t>
      </w:r>
      <w:r>
        <w:t>, p. 6.</w:t>
      </w:r>
    </w:p>
  </w:footnote>
  <w:footnote w:id="8">
    <w:p w:rsidR="00483D53" w:rsidRPr="00B81419" w:rsidRDefault="00483D53">
      <w:pPr>
        <w:pStyle w:val="Notedebasdepage"/>
      </w:pPr>
      <w:r>
        <w:rPr>
          <w:rStyle w:val="Marquenotebasdepage"/>
        </w:rPr>
        <w:footnoteRef/>
      </w:r>
      <w:r>
        <w:t xml:space="preserve"> </w:t>
      </w:r>
      <w:r>
        <w:rPr>
          <w:i/>
          <w:iCs/>
        </w:rPr>
        <w:t>Idem.</w:t>
      </w:r>
    </w:p>
  </w:footnote>
  <w:footnote w:id="9">
    <w:p w:rsidR="00AE1CC9" w:rsidRDefault="00AE1CC9">
      <w:pPr>
        <w:pStyle w:val="Notedebasdepage"/>
      </w:pPr>
      <w:r>
        <w:rPr>
          <w:rStyle w:val="Marquenotebasdepage"/>
        </w:rPr>
        <w:footnoteRef/>
      </w:r>
      <w:r>
        <w:t xml:space="preserve"> Programmes d’arts plastiques, enseignement optionnel, classe de seconde, p. 6.</w:t>
      </w:r>
    </w:p>
  </w:footnote>
  <w:footnote w:id="10">
    <w:p w:rsidR="00AE1CC9" w:rsidRDefault="00AE1CC9">
      <w:pPr>
        <w:pStyle w:val="Notedebasdepage"/>
      </w:pPr>
      <w:r>
        <w:rPr>
          <w:rStyle w:val="Marquenotebasdepage"/>
        </w:rPr>
        <w:footnoteRef/>
      </w:r>
      <w:r>
        <w:t xml:space="preserve"> Programmes d’arts plastiques, enseignement de spécialité, classe de première, p. 16.</w:t>
      </w:r>
    </w:p>
  </w:footnote>
  <w:footnote w:id="11">
    <w:p w:rsidR="00F7247A" w:rsidRDefault="00F7247A">
      <w:pPr>
        <w:pStyle w:val="Notedebasdepage"/>
      </w:pPr>
      <w:r>
        <w:rPr>
          <w:rStyle w:val="Marquenotebasdepage"/>
        </w:rPr>
        <w:footnoteRef/>
      </w:r>
      <w:r w:rsidRPr="00F7247A">
        <w:rPr>
          <w:i/>
          <w:iCs/>
        </w:rPr>
        <w:t xml:space="preserve"> Idem</w:t>
      </w:r>
      <w:r>
        <w:t>.</w:t>
      </w:r>
    </w:p>
  </w:footnote>
  <w:footnote w:id="12">
    <w:p w:rsidR="00486D42" w:rsidRDefault="00486D42">
      <w:pPr>
        <w:pStyle w:val="Notedebasdepage"/>
      </w:pPr>
      <w:r>
        <w:rPr>
          <w:rStyle w:val="Marquenotebasdepage"/>
        </w:rPr>
        <w:footnoteRef/>
      </w:r>
      <w:r>
        <w:t xml:space="preserve"> Rapport « Faire du grand oral un levier d’égalité des chances », Cyril </w:t>
      </w:r>
      <w:proofErr w:type="spellStart"/>
      <w:r>
        <w:t>Delhay</w:t>
      </w:r>
      <w:proofErr w:type="spellEnd"/>
      <w:r>
        <w:t>, 19 juin 2019, p. 23.</w:t>
      </w:r>
    </w:p>
  </w:footnote>
  <w:footnote w:id="13">
    <w:p w:rsidR="00C17D51" w:rsidRDefault="00C17D51">
      <w:pPr>
        <w:pStyle w:val="Notedebasdepage"/>
      </w:pPr>
      <w:r>
        <w:rPr>
          <w:rStyle w:val="Marquenotebasdepage"/>
        </w:rPr>
        <w:footnoteRef/>
      </w:r>
      <w:r w:rsidRPr="00C17D51">
        <w:rPr>
          <w:i/>
          <w:iCs/>
        </w:rPr>
        <w:t>Idem</w:t>
      </w:r>
      <w:r>
        <w:t>.</w:t>
      </w:r>
    </w:p>
  </w:footnote>
  <w:footnote w:id="14">
    <w:p w:rsidR="00C44113" w:rsidRPr="00C44113" w:rsidRDefault="00C44113">
      <w:pPr>
        <w:pStyle w:val="Notedebasdepage"/>
      </w:pPr>
      <w:r>
        <w:rPr>
          <w:rStyle w:val="Marquenotebasdepage"/>
        </w:rPr>
        <w:footnoteRef/>
      </w:r>
      <w:r>
        <w:t xml:space="preserve"> </w:t>
      </w:r>
      <w:r>
        <w:rPr>
          <w:i/>
          <w:iCs/>
        </w:rPr>
        <w:t>Idem</w:t>
      </w:r>
      <w:r>
        <w:t>.</w:t>
      </w:r>
    </w:p>
  </w:footnote>
  <w:footnote w:id="15">
    <w:p w:rsidR="00223AB6" w:rsidRDefault="00223AB6">
      <w:pPr>
        <w:pStyle w:val="Notedebasdepage"/>
      </w:pPr>
      <w:r>
        <w:rPr>
          <w:rStyle w:val="Marquenotebasdepage"/>
        </w:rPr>
        <w:footnoteRef/>
      </w:r>
      <w:r>
        <w:t xml:space="preserve"> Programmes d’arts plastiques, classe de première, enseignement de spécialité, p. 16.</w:t>
      </w:r>
    </w:p>
  </w:footnote>
  <w:footnote w:id="16">
    <w:p w:rsidR="00223AB6" w:rsidRPr="00223AB6" w:rsidRDefault="00223AB6">
      <w:pPr>
        <w:pStyle w:val="Notedebasdepage"/>
      </w:pPr>
      <w:r>
        <w:rPr>
          <w:rStyle w:val="Marquenotebasdepage"/>
        </w:rPr>
        <w:footnoteRef/>
      </w:r>
      <w:r>
        <w:t xml:space="preserve"> </w:t>
      </w:r>
      <w:r>
        <w:rPr>
          <w:i/>
          <w:iCs/>
        </w:rPr>
        <w:t>Ibidem</w:t>
      </w:r>
      <w:r>
        <w:t>, p. 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oNotTrackMoves/>
  <w:defaultTabStop w:val="708"/>
  <w:hyphenationZone w:val="425"/>
  <w:characterSpacingControl w:val="doNotCompress"/>
  <w:footnotePr>
    <w:footnote w:id="0"/>
    <w:footnote w:id="1"/>
  </w:footnotePr>
  <w:endnotePr>
    <w:endnote w:id="0"/>
    <w:endnote w:id="1"/>
  </w:endnotePr>
  <w:compat/>
  <w:rsids>
    <w:rsidRoot w:val="007F4844"/>
    <w:rsid w:val="000B747C"/>
    <w:rsid w:val="00106CAB"/>
    <w:rsid w:val="00210856"/>
    <w:rsid w:val="00223AB6"/>
    <w:rsid w:val="00242C90"/>
    <w:rsid w:val="002C1BF4"/>
    <w:rsid w:val="002E5DC2"/>
    <w:rsid w:val="003376DC"/>
    <w:rsid w:val="00350301"/>
    <w:rsid w:val="003E06ED"/>
    <w:rsid w:val="00483D53"/>
    <w:rsid w:val="00486D42"/>
    <w:rsid w:val="004B119B"/>
    <w:rsid w:val="006F3013"/>
    <w:rsid w:val="00771550"/>
    <w:rsid w:val="00777B6A"/>
    <w:rsid w:val="007F4844"/>
    <w:rsid w:val="0082545E"/>
    <w:rsid w:val="00883320"/>
    <w:rsid w:val="009758C0"/>
    <w:rsid w:val="009E21C5"/>
    <w:rsid w:val="00AE1CC9"/>
    <w:rsid w:val="00B81419"/>
    <w:rsid w:val="00BC585D"/>
    <w:rsid w:val="00C00236"/>
    <w:rsid w:val="00C17D51"/>
    <w:rsid w:val="00C21BC8"/>
    <w:rsid w:val="00C44113"/>
    <w:rsid w:val="00C63F17"/>
    <w:rsid w:val="00CF381D"/>
    <w:rsid w:val="00CF4CC4"/>
    <w:rsid w:val="00D03F66"/>
    <w:rsid w:val="00D516B5"/>
    <w:rsid w:val="00F7247A"/>
    <w:rsid w:val="00FE4BBF"/>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44"/>
    <w:rPr>
      <w:rFonts w:eastAsiaTheme="minorEastAsia"/>
      <w:lang w:eastAsia="fr-FR"/>
    </w:rPr>
  </w:style>
  <w:style w:type="paragraph" w:styleId="Titre3">
    <w:name w:val="heading 3"/>
    <w:basedOn w:val="Normal"/>
    <w:link w:val="Titre3Car"/>
    <w:uiPriority w:val="9"/>
    <w:qFormat/>
    <w:rsid w:val="00D03F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C63F17"/>
    <w:rPr>
      <w:color w:val="0563C1" w:themeColor="hyperlink"/>
      <w:u w:val="single"/>
    </w:rPr>
  </w:style>
  <w:style w:type="character" w:customStyle="1" w:styleId="UnresolvedMention">
    <w:name w:val="Unresolved Mention"/>
    <w:basedOn w:val="Policepardfaut"/>
    <w:uiPriority w:val="99"/>
    <w:semiHidden/>
    <w:unhideWhenUsed/>
    <w:rsid w:val="00C63F17"/>
    <w:rPr>
      <w:color w:val="605E5C"/>
      <w:shd w:val="clear" w:color="auto" w:fill="E1DFDD"/>
    </w:rPr>
  </w:style>
  <w:style w:type="paragraph" w:styleId="NormalWeb">
    <w:name w:val="Normal (Web)"/>
    <w:basedOn w:val="Normal"/>
    <w:uiPriority w:val="99"/>
    <w:unhideWhenUsed/>
    <w:rsid w:val="00C63F17"/>
    <w:pPr>
      <w:spacing w:before="100" w:beforeAutospacing="1" w:after="100" w:afterAutospacing="1"/>
    </w:pPr>
    <w:rPr>
      <w:rFonts w:ascii="Times New Roman" w:eastAsia="Times New Roman" w:hAnsi="Times New Roman" w:cs="Times New Roman"/>
    </w:rPr>
  </w:style>
  <w:style w:type="table" w:customStyle="1" w:styleId="GridTable6ColorfulAccent1">
    <w:name w:val="Grid Table 6 Colorful Accent 1"/>
    <w:basedOn w:val="TableauNormal"/>
    <w:uiPriority w:val="51"/>
    <w:rsid w:val="00C63F17"/>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suivi">
    <w:name w:val="FollowedHyperlink"/>
    <w:basedOn w:val="Policepardfaut"/>
    <w:uiPriority w:val="99"/>
    <w:semiHidden/>
    <w:unhideWhenUsed/>
    <w:rsid w:val="004B119B"/>
    <w:rPr>
      <w:color w:val="954F72" w:themeColor="followedHyperlink"/>
      <w:u w:val="single"/>
    </w:rPr>
  </w:style>
  <w:style w:type="paragraph" w:styleId="Notedebasdepage">
    <w:name w:val="footnote text"/>
    <w:basedOn w:val="Normal"/>
    <w:link w:val="NotedebasdepageCar"/>
    <w:uiPriority w:val="99"/>
    <w:semiHidden/>
    <w:unhideWhenUsed/>
    <w:rsid w:val="00B81419"/>
    <w:rPr>
      <w:sz w:val="20"/>
      <w:szCs w:val="20"/>
    </w:rPr>
  </w:style>
  <w:style w:type="character" w:customStyle="1" w:styleId="NotedebasdepageCar">
    <w:name w:val="Note de bas de page Car"/>
    <w:basedOn w:val="Policepardfaut"/>
    <w:link w:val="Notedebasdepage"/>
    <w:uiPriority w:val="99"/>
    <w:semiHidden/>
    <w:rsid w:val="00B81419"/>
    <w:rPr>
      <w:rFonts w:eastAsiaTheme="minorEastAsia"/>
      <w:sz w:val="20"/>
      <w:szCs w:val="20"/>
      <w:lang w:eastAsia="fr-FR"/>
    </w:rPr>
  </w:style>
  <w:style w:type="character" w:styleId="Marquenotebasdepage">
    <w:name w:val="footnote reference"/>
    <w:basedOn w:val="Policepardfaut"/>
    <w:uiPriority w:val="99"/>
    <w:semiHidden/>
    <w:unhideWhenUsed/>
    <w:rsid w:val="00B81419"/>
    <w:rPr>
      <w:vertAlign w:val="superscript"/>
    </w:rPr>
  </w:style>
  <w:style w:type="paragraph" w:styleId="Pieddepage">
    <w:name w:val="footer"/>
    <w:basedOn w:val="Normal"/>
    <w:link w:val="PieddepageCar"/>
    <w:uiPriority w:val="99"/>
    <w:unhideWhenUsed/>
    <w:rsid w:val="00210856"/>
    <w:pPr>
      <w:tabs>
        <w:tab w:val="center" w:pos="4536"/>
        <w:tab w:val="right" w:pos="9072"/>
      </w:tabs>
    </w:pPr>
  </w:style>
  <w:style w:type="character" w:customStyle="1" w:styleId="PieddepageCar">
    <w:name w:val="Pied de page Car"/>
    <w:basedOn w:val="Policepardfaut"/>
    <w:link w:val="Pieddepage"/>
    <w:uiPriority w:val="99"/>
    <w:rsid w:val="00210856"/>
    <w:rPr>
      <w:rFonts w:eastAsiaTheme="minorEastAsia"/>
      <w:lang w:eastAsia="fr-FR"/>
    </w:rPr>
  </w:style>
  <w:style w:type="character" w:styleId="Numrodepage">
    <w:name w:val="page number"/>
    <w:basedOn w:val="Policepardfaut"/>
    <w:uiPriority w:val="99"/>
    <w:semiHidden/>
    <w:unhideWhenUsed/>
    <w:rsid w:val="00210856"/>
  </w:style>
  <w:style w:type="character" w:customStyle="1" w:styleId="Titre3Car">
    <w:name w:val="Titre 3 Car"/>
    <w:basedOn w:val="Policepardfaut"/>
    <w:link w:val="Titre3"/>
    <w:uiPriority w:val="9"/>
    <w:rsid w:val="00D03F66"/>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04464951">
      <w:bodyDiv w:val="1"/>
      <w:marLeft w:val="0"/>
      <w:marRight w:val="0"/>
      <w:marTop w:val="0"/>
      <w:marBottom w:val="0"/>
      <w:divBdr>
        <w:top w:val="none" w:sz="0" w:space="0" w:color="auto"/>
        <w:left w:val="none" w:sz="0" w:space="0" w:color="auto"/>
        <w:bottom w:val="none" w:sz="0" w:space="0" w:color="auto"/>
        <w:right w:val="none" w:sz="0" w:space="0" w:color="auto"/>
      </w:divBdr>
    </w:div>
    <w:div w:id="1013798791">
      <w:bodyDiv w:val="1"/>
      <w:marLeft w:val="0"/>
      <w:marRight w:val="0"/>
      <w:marTop w:val="0"/>
      <w:marBottom w:val="0"/>
      <w:divBdr>
        <w:top w:val="none" w:sz="0" w:space="0" w:color="auto"/>
        <w:left w:val="none" w:sz="0" w:space="0" w:color="auto"/>
        <w:bottom w:val="none" w:sz="0" w:space="0" w:color="auto"/>
        <w:right w:val="none" w:sz="0" w:space="0" w:color="auto"/>
      </w:divBdr>
      <w:divsChild>
        <w:div w:id="435174556">
          <w:marLeft w:val="0"/>
          <w:marRight w:val="0"/>
          <w:marTop w:val="0"/>
          <w:marBottom w:val="0"/>
          <w:divBdr>
            <w:top w:val="none" w:sz="0" w:space="0" w:color="auto"/>
            <w:left w:val="none" w:sz="0" w:space="0" w:color="auto"/>
            <w:bottom w:val="none" w:sz="0" w:space="0" w:color="auto"/>
            <w:right w:val="none" w:sz="0" w:space="0" w:color="auto"/>
          </w:divBdr>
          <w:divsChild>
            <w:div w:id="663364361">
              <w:marLeft w:val="0"/>
              <w:marRight w:val="0"/>
              <w:marTop w:val="0"/>
              <w:marBottom w:val="0"/>
              <w:divBdr>
                <w:top w:val="none" w:sz="0" w:space="0" w:color="auto"/>
                <w:left w:val="none" w:sz="0" w:space="0" w:color="auto"/>
                <w:bottom w:val="none" w:sz="0" w:space="0" w:color="auto"/>
                <w:right w:val="none" w:sz="0" w:space="0" w:color="auto"/>
              </w:divBdr>
              <w:divsChild>
                <w:div w:id="5031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53626">
      <w:bodyDiv w:val="1"/>
      <w:marLeft w:val="0"/>
      <w:marRight w:val="0"/>
      <w:marTop w:val="0"/>
      <w:marBottom w:val="0"/>
      <w:divBdr>
        <w:top w:val="none" w:sz="0" w:space="0" w:color="auto"/>
        <w:left w:val="none" w:sz="0" w:space="0" w:color="auto"/>
        <w:bottom w:val="none" w:sz="0" w:space="0" w:color="auto"/>
        <w:right w:val="none" w:sz="0" w:space="0" w:color="auto"/>
      </w:divBdr>
      <w:divsChild>
        <w:div w:id="429087843">
          <w:marLeft w:val="0"/>
          <w:marRight w:val="0"/>
          <w:marTop w:val="0"/>
          <w:marBottom w:val="0"/>
          <w:divBdr>
            <w:top w:val="none" w:sz="0" w:space="0" w:color="auto"/>
            <w:left w:val="none" w:sz="0" w:space="0" w:color="auto"/>
            <w:bottom w:val="none" w:sz="0" w:space="0" w:color="auto"/>
            <w:right w:val="none" w:sz="0" w:space="0" w:color="auto"/>
          </w:divBdr>
          <w:divsChild>
            <w:div w:id="1847550833">
              <w:marLeft w:val="0"/>
              <w:marRight w:val="0"/>
              <w:marTop w:val="0"/>
              <w:marBottom w:val="0"/>
              <w:divBdr>
                <w:top w:val="none" w:sz="0" w:space="0" w:color="auto"/>
                <w:left w:val="none" w:sz="0" w:space="0" w:color="auto"/>
                <w:bottom w:val="none" w:sz="0" w:space="0" w:color="auto"/>
                <w:right w:val="none" w:sz="0" w:space="0" w:color="auto"/>
              </w:divBdr>
              <w:divsChild>
                <w:div w:id="20704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1448">
      <w:bodyDiv w:val="1"/>
      <w:marLeft w:val="0"/>
      <w:marRight w:val="0"/>
      <w:marTop w:val="0"/>
      <w:marBottom w:val="0"/>
      <w:divBdr>
        <w:top w:val="none" w:sz="0" w:space="0" w:color="auto"/>
        <w:left w:val="none" w:sz="0" w:space="0" w:color="auto"/>
        <w:bottom w:val="none" w:sz="0" w:space="0" w:color="auto"/>
        <w:right w:val="none" w:sz="0" w:space="0" w:color="auto"/>
      </w:divBdr>
      <w:divsChild>
        <w:div w:id="2025280791">
          <w:marLeft w:val="0"/>
          <w:marRight w:val="0"/>
          <w:marTop w:val="0"/>
          <w:marBottom w:val="0"/>
          <w:divBdr>
            <w:top w:val="none" w:sz="0" w:space="0" w:color="auto"/>
            <w:left w:val="none" w:sz="0" w:space="0" w:color="auto"/>
            <w:bottom w:val="none" w:sz="0" w:space="0" w:color="auto"/>
            <w:right w:val="none" w:sz="0" w:space="0" w:color="auto"/>
          </w:divBdr>
          <w:divsChild>
            <w:div w:id="849099520">
              <w:marLeft w:val="0"/>
              <w:marRight w:val="0"/>
              <w:marTop w:val="0"/>
              <w:marBottom w:val="0"/>
              <w:divBdr>
                <w:top w:val="none" w:sz="0" w:space="0" w:color="auto"/>
                <w:left w:val="none" w:sz="0" w:space="0" w:color="auto"/>
                <w:bottom w:val="none" w:sz="0" w:space="0" w:color="auto"/>
                <w:right w:val="none" w:sz="0" w:space="0" w:color="auto"/>
              </w:divBdr>
              <w:divsChild>
                <w:div w:id="2631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s://www.education.gouv.fr/rapport-de-cyril-delhay-sur-le-grand-oral-apprendre-tous-les-eleves-porter-leur-propre-parole-2582" TargetMode="External"/><Relationship Id="rId8" Type="http://schemas.openxmlformats.org/officeDocument/2006/relationships/hyperlink" Target="https://www.education.gouv.fr/bo/20/Special2/MENE2002780N.htm?cid_bo=149115"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9944</Characters>
  <Application>Microsoft Word 12.0.0</Application>
  <DocSecurity>0</DocSecurity>
  <Lines>82</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marieIHerbet@outlook.fr</dc:creator>
  <cp:keywords/>
  <dc:description/>
  <cp:lastModifiedBy>Bruno Montois</cp:lastModifiedBy>
  <cp:revision>2</cp:revision>
  <cp:lastPrinted>2020-11-15T11:54:00Z</cp:lastPrinted>
  <dcterms:created xsi:type="dcterms:W3CDTF">2020-11-15T11:55:00Z</dcterms:created>
  <dcterms:modified xsi:type="dcterms:W3CDTF">2020-11-15T11:55:00Z</dcterms:modified>
</cp:coreProperties>
</file>